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عدم طهارت اشیاء معیّنه برای سجود آنها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أذن الله لكم الس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جود على كل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شيء طاهر ورفعنا عنه حكم الحدّ في الكتاب إن الله يعلم وأنتم لا تعلمون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000000"/>
          <w:sz w:val="28"/>
          <w:szCs w:val="28"/>
        </w:rPr>
      </w:pPr>
      <w:r>
        <w:rPr>
          <w:rFonts w:cs="Traditional Arabic" w:ascii="Traditional Arabic" w:hAnsi="Traditional Arabic"/>
          <w:color w:val="00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سجود در اديان گذشته غالباً از آداب لازمه صلات محسوب می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کتاب مبارک بيان عربی حضرت نقطه اولی به مؤمنين دوره بيان فرموده بودند که پيشانی خود را در وقت سجود بر بلور نهند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همين طور در اسلام در مورد اشيائی که بر آن سجده جايز است شرايط و قواعدی معمول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جمال اقدس ابهی همه اين محدوديتها را ملغی نموده تصريح می فرمايند که سجود بر هر شیء پاکی جايز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1"/>
      <w:ind w:left="0" w:right="0" w:hanging="0"/>
      <w:jc w:val="left"/>
      <w:rPr>
        <w:rFonts w:ascii="Traditional Arabic" w:hAnsi="Traditional Arabic" w:cs="Traditional Arabic"/>
        <w:b/>
        <w:b/>
        <w:bCs/>
        <w:lang w:bidi="fa-IR"/>
      </w:rPr>
    </w:pPr>
    <w:r>
      <w:rPr>
        <w:rFonts w:ascii="Traditional Arabic" w:hAnsi="Traditional Arabic" w:cs="Traditional Arabic"/>
        <w:b/>
        <w:b/>
        <w:bCs/>
        <w:rtl w:val="true"/>
        <w:lang w:bidi="fa-IR"/>
      </w:rPr>
      <w:t xml:space="preserve">عدم طهارت اشیاء معیّنه برای سجود آنها </w:t>
    </w:r>
  </w:p>
  <w:p>
    <w:pPr>
      <w:pStyle w:val="Header"/>
      <w:rPr>
        <w:rFonts w:ascii="Arial" w:hAnsi="Arial" w:cs="Arial"/>
        <w:b/>
        <w:b/>
        <w:bCs/>
        <w:color w:val="000000"/>
        <w:sz w:val="24"/>
        <w:lang w:bidi="fa-IR"/>
      </w:rPr>
    </w:pPr>
    <w:r>
      <w:rPr>
        <w:rFonts w:cs="Arial" w:ascii="Arial" w:hAnsi="Arial"/>
        <w:b/>
        <w:bCs/>
        <w:color w:val="000000"/>
        <w:sz w:val="24"/>
        <w:lang w:bidi="fa-I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