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8"/>
          <w:szCs w:val="48"/>
          <w:u w:val="single"/>
        </w:rPr>
      </w:pPr>
      <w:r>
        <w:rPr>
          <w:rFonts w:cs="Traditional Arabic" w:ascii="Calibri" w:hAnsi="Calibri"/>
          <w:b/>
          <w:bCs/>
          <w:color w:val="FF0000"/>
          <w:sz w:val="48"/>
          <w:szCs w:val="48"/>
          <w:u w:val="single"/>
        </w:rPr>
        <w:t>Holy War</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Amiri;Times New Roman" w:ascii="Amiri;Times New Roman" w:hAnsi="Amiri;Times New Roman"/>
          <w:b/>
          <w:bCs/>
          <w:color w:val="000000"/>
          <w:sz w:val="36"/>
          <w:szCs w:val="36"/>
        </w:rPr>
        <w:t>The first Glad-Tidings</w:t>
      </w:r>
      <w:r>
        <w:rPr>
          <w:rFonts w:cs="Amiri;Times New Roman" w:ascii="Amiri;Times New Roman" w:hAnsi="Amiri;Times New Roman"/>
          <w:color w:val="000000"/>
          <w:sz w:val="36"/>
          <w:szCs w:val="36"/>
        </w:rPr>
        <w:t xml:space="preserve">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p>
      <w:pPr>
        <w:pStyle w:val="Normal"/>
        <w:rPr/>
      </w:pPr>
      <w:r>
        <w:rPr>
          <w:rFonts w:cs="Traditional Arabic" w:ascii="Traditional Arabic" w:hAnsi="Traditional Arabic"/>
          <w:color w:val="0000CC"/>
          <w:sz w:val="28"/>
          <w:szCs w:val="28"/>
        </w:rPr>
        <w:t>(</w:t>
      </w:r>
      <w:r>
        <w:rPr>
          <w:color w:val="0000CC"/>
        </w:rPr>
        <w:t>Glad-Tidings, Bishárát, Bahá’u’lláh)</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Traditional Arabic" w:ascii="Calibri" w:hAnsi="Calibri"/>
          <w:sz w:val="36"/>
          <w:szCs w:val="36"/>
        </w:rPr>
        <w:t>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p>
    <w:p>
      <w:pPr>
        <w:pStyle w:val="PlainText"/>
        <w:rPr>
          <w:rFonts w:ascii="Calibri" w:hAnsi="Calibri" w:cs="Traditional Arabic"/>
          <w:color w:val="0000CC"/>
          <w:sz w:val="28"/>
          <w:szCs w:val="28"/>
        </w:rPr>
      </w:pPr>
      <w:r>
        <w:rPr>
          <w:rFonts w:cs="Traditional Arabic" w:ascii="Calibri" w:hAnsi="Calibri"/>
          <w:color w:val="0000CC"/>
          <w:sz w:val="28"/>
          <w:szCs w:val="28"/>
        </w:rPr>
        <w:t>(Surih of the Temple, Baha'u'llah, The Summons of the Lord of Hosts, p. 23)</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Amiri">
    <w:altName w:val="Times New Roman"/>
    <w:charset w:val="00"/>
    <w:family w:val="auto"/>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