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حكم الرِّبــَــا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32"/>
          <w:szCs w:val="32"/>
        </w:rPr>
        <w:t>1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 –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وَأَمَّا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سَأَلْتَ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عَنِ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الْفَوَائِدِ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وَالأَرْبَاحِ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لِلذَّهَبِ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وَالْفِضَّةِ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فَقَدْ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صَدَرَ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الْبَيَانُ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الآتِي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مَلَكُوتِ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الرَّحْمَنِ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مُنْذُ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عِدَّةِ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سِنِينَ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خَاصّ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لاسْمِ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زَيْنِ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الْمُقَرَّبِينَ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عَلَيْهِ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بَهَاءُ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الأَبْهَى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قَوْلُهُ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تَعَالَى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يُرَى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أَكْثَرُ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النَّاسِ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مُحْتَاجَاً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إِلَى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هَذِهِ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الْفِقْرَةِ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إِذْ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لَوْ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لَمْ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يَكُنْ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رِبْحٌ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مُتَدَاوَلٌ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بَيْنَ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النَّاسِ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لَتَتَعَطَّلُ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وَتَتَعَوَّقُ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الأُمُورُ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.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وَقَلَّمَا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نَجِدُ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يَتَوَفَّقُ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بِمُرَاعَاةِ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أَبْنَاءِ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جِنْسِهِ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وَأَبْنَاءِ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وَطَنِهِ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أَوْ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إِخْوَانِهِ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لِيُقْرِضَهُم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قَرْضَاً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حَسَنَاً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.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لِذَا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فَضْلاً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عَلَى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الْعِبَادِ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قَرَّرْنَا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الرِّبَا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كَسَائِرِ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الْمُعَامَلاَتِ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الْمُتَدَاوَلَةِ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بَيْنَ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النَّاسِ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أَيْ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رِبْحِ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النُّقُودِ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.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فَمِنْ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الْحِينِ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نُزِّلَ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فِيهِ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الْحُكْمُ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الْمُبِينُ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سَمَاءِ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الْمَشِيئَةِ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صَارَ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رِبْحُ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النُّقُودِ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حَلاَلاً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طَيِّب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طَاهِر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لِيَشْتَغِلَ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أَهْلُ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الأَرْضِ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بِكَمَالِ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الرَّوْحِ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وَالرَّيْحَانِ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وَالْفَرَحِ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وَالانْبِسَاطِ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بِذِكْرِ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مَحْبُوبِ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الْعَالَمِينَ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إِنَّهُ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يَحْكُمُ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كَيْفَ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يَشَاءُ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وَأَحَلَّ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الرِّبَا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كَمَا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حَرَّمَهُ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مِنْ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قَبْلُ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قَبْضَتِهِ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مَلَكُوتُ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الأُمْرِ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يَفْعَلُ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وَيَأْمُرُ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وَهُوَ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الآمِرُ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الْعَلِيمُ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32"/>
          <w:szCs w:val="32"/>
        </w:rPr>
      </w:pPr>
      <w:r>
        <w:rPr>
          <w:rFonts w:eastAsia="Traditional Arabic" w:cs="Traditional Arabic" w:ascii="Traditional Arabic" w:hAnsi="Traditional Arabic"/>
          <w:color w:val="FF0000"/>
          <w:sz w:val="32"/>
          <w:szCs w:val="32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32"/>
          <w:szCs w:val="32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32"/>
          <w:sz w:val="32"/>
          <w:szCs w:val="32"/>
          <w:rtl w:val="true"/>
        </w:rPr>
        <w:t xml:space="preserve">لوح الإشراقات </w:t>
      </w:r>
      <w:r>
        <w:rPr>
          <w:rFonts w:ascii="Traditional Arabic" w:hAnsi="Traditional Arabic" w:cs="Traditional Arabic"/>
          <w:color w:val="FF0000"/>
          <w:sz w:val="32"/>
          <w:sz w:val="32"/>
          <w:szCs w:val="32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32"/>
          <w:sz w:val="32"/>
          <w:szCs w:val="32"/>
          <w:rtl w:val="true"/>
        </w:rPr>
        <w:t xml:space="preserve"> معرّب عن الفارسية</w:t>
      </w:r>
      <w:r>
        <w:rPr>
          <w:rFonts w:cs="Traditional Arabic" w:ascii="Traditional Arabic" w:hAnsi="Traditional Arabic"/>
          <w:color w:val="FF0000"/>
          <w:sz w:val="32"/>
          <w:szCs w:val="32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tl w:val="true"/>
        <w:lang w:bidi="ar-JO"/>
      </w:rPr>
      <w:t>حكم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الربا</w:t>
    </w:r>
    <w:r>
      <w:rPr>
        <w:rFonts w:cs="Calibri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EndnoteCharacters">
    <w:name w:val="Endnote Characters"/>
    <w:qFormat/>
    <w:rPr>
      <w:vertAlign w:val="superscript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