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746" w:right="0" w:hanging="746"/>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الثّاني</w:t>
      </w:r>
    </w:p>
    <w:p>
      <w:pPr>
        <w:pStyle w:val="Normal"/>
        <w:bidi w:val="1"/>
        <w:spacing w:before="0" w:after="160"/>
        <w:ind w:left="0" w:right="0" w:firstLine="720"/>
        <w:jc w:val="left"/>
        <w:rPr>
          <w:rFonts w:ascii="Simplified Arabic" w:hAnsi="Simplified Arabic" w:cs="Simplified Arabic"/>
          <w:sz w:val="28"/>
          <w:szCs w:val="28"/>
          <w:lang w:bidi="ar-JO"/>
        </w:rPr>
      </w:pPr>
      <w:r>
        <w:rPr>
          <w:rFonts w:ascii="Simplified Arabic" w:hAnsi="Simplified Arabic" w:cs="Simplified Arabic"/>
          <w:sz w:val="28"/>
          <w:sz w:val="28"/>
          <w:szCs w:val="28"/>
          <w:rtl w:val="true"/>
          <w:lang w:bidi="ar-JO"/>
        </w:rPr>
        <w:t xml:space="preserve">وقد صدر في صباح يوم الثّلاثاء </w:t>
      </w:r>
      <w:r>
        <w:rPr>
          <w:rFonts w:cs="Simplified Arabic" w:ascii="Simplified Arabic" w:hAnsi="Simplified Arabic"/>
          <w:sz w:val="28"/>
          <w:szCs w:val="28"/>
          <w:lang w:bidi="ar-JO"/>
        </w:rPr>
        <w:t>27</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آذار </w:t>
      </w:r>
      <w:r>
        <w:rPr>
          <w:rFonts w:cs="Simplified Arabic" w:ascii="Simplified Arabic" w:hAnsi="Simplified Arabic"/>
          <w:sz w:val="28"/>
          <w:szCs w:val="28"/>
          <w:lang w:bidi="ar-JO"/>
        </w:rPr>
        <w:t>1916</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البهجة في حديقة الرّوضة المباركة بالعنوان التالي</w:t>
      </w:r>
      <w:r>
        <w:rPr>
          <w:rFonts w:cs="Simplified Arabic" w:ascii="Simplified Arabic" w:hAnsi="Simplified Arabic"/>
          <w:sz w:val="28"/>
          <w:szCs w:val="28"/>
          <w:rtl w:val="true"/>
          <w:lang w:bidi="ar-JO"/>
        </w:rPr>
        <w:t>:</w:t>
      </w:r>
    </w:p>
    <w:p>
      <w:pPr>
        <w:pStyle w:val="Normal"/>
        <w:bidi w:val="1"/>
        <w:spacing w:before="0" w:after="160"/>
        <w:ind w:left="0" w:right="0" w:firstLine="720"/>
        <w:jc w:val="left"/>
        <w:rPr>
          <w:rFonts w:ascii="Simplified Arabic" w:hAnsi="Simplified Arabic" w:cs="Simplified Arabic"/>
          <w:sz w:val="28"/>
          <w:szCs w:val="28"/>
          <w:lang w:bidi="ar-JO"/>
        </w:rPr>
      </w:pPr>
      <w:r>
        <w:rPr>
          <w:rFonts w:ascii="Simplified Arabic" w:hAnsi="Simplified Arabic" w:cs="Simplified Arabic"/>
          <w:sz w:val="28"/>
          <w:sz w:val="28"/>
          <w:szCs w:val="28"/>
          <w:rtl w:val="true"/>
          <w:lang w:bidi="ar-JO"/>
        </w:rPr>
        <w:t>إلى أحبّاء الله وإماء الرّحمن في ست عشرة ولاية من جنوب الولايات المتحدة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ديلاوير، ماريلاند، فرجينيا، فرجينيا الغربية، كارولاينا الشّماليّة، كارولاينا الجنوبيّة، جورجيا، فلوريدا، ألاباما، مسيسيبي، تينيسي، كنتاكي، لويزيانا، أركانسو، أوكلاهوما، تكساس عليهم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center"/>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أيّها المنادون بملكوت الله كنت قد كتبت قبل بضعة أيّام رسالة إلى أولئك الأحبّاء، أحبّاء الله ولكن حيث أنّ هذه الأيّام أيّام عيد النوروز لذا فإنّي ذكرتكم وأرسل إليكم هذه التّهنئة بالعيد السّعيد</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نعم إنّ جميع الأيّام أيّام مباركة إلا أنّ هذا العيد في إيران عيد قوميّ يحتفل النّاس به منذ آلاف السّنين، والواقع أنّ كلّ يوم يذكر فيه الإنسان خالقه ويقوم فيه بنشر نفحات الله وينادي فيه بملكوت الله، فإنّ ذلك اليوم يكون عيدًا مباركًا، وأنتم ولله الحمد مشغولون ليلاً ونهارًا في خدمة ملكوت الله، قائمون على ترويج دين الله، لهذا يعتبر جميع أيّامكم أعيادًا، ولا شكّ أنّ العون الإلهيّ والفيض الرّبّانيّ سيعينكم وسوف تؤيّدكم القوى الإلهيّة ونفثات روح القدس</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عدد الأحباء قليل في الولايات الجنوبيّة من الولايات المتّحدة وأعني بها ولاية ديلاوير، ماريلاند، فرجينيا، فرجينيا الغربية، كارولاينا الشّماليّة، كارولاينا الجنوبيّة، جورجيا، فلوريدا، ألاباما، مسيسيبي، تينيسي، كنتاكي، لويزيانا، أركانسو، أوكلاهوما، تكساس</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لهذا يجب أن تذهب منكم نفوس مباركة إلى تلك الأنحاء أو ترسلوا إليها نفوسًا مباركة لتبشّر النّاس في تلك الجهات بشارة ملكوت السّماء</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لقد خاطب أحد المظاهر المقدّسة المؤمنين قائلاً لو أصبح إنسان سببًا في هداية نفس لكان ذلك خير له من كنز لا حدّ له، يا عليّ لئن يهدي الله بك نفسًا خير لك من حمر النّعم</w:t>
      </w:r>
      <w:r>
        <w:rPr>
          <w:rStyle w:val="FootnoteCharacters"/>
          <w:rStyle w:val="FootnoteAnchor"/>
          <w:rFonts w:ascii="Simplified Arabic" w:hAnsi="Simplified Arabic" w:cs="Simplified Arabic"/>
          <w:sz w:val="28"/>
          <w:sz w:val="28"/>
          <w:szCs w:val="28"/>
          <w:rtl w:val="true"/>
          <w:lang w:bidi="ar-JO"/>
        </w:rPr>
        <w:footnoteReference w:customMarkFollows="1" w:id="2"/>
        <w:t>*</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وكذلك يتفضّل في القرآن الكريم قائلاً </w:t>
      </w:r>
      <w:r>
        <w:rPr>
          <w:rFonts w:ascii="Simplified Arabic" w:hAnsi="Simplified Arabic" w:cs="Simplified Arabic"/>
          <w:b/>
          <w:b/>
          <w:bCs/>
          <w:sz w:val="28"/>
          <w:sz w:val="28"/>
          <w:szCs w:val="28"/>
          <w:rtl w:val="true"/>
          <w:lang w:bidi="ar-JO"/>
        </w:rPr>
        <w:t>اهدنا الصّراط المستقيم</w:t>
      </w:r>
      <w:r>
        <w:rPr>
          <w:rFonts w:ascii="Simplified Arabic" w:hAnsi="Simplified Arabic" w:cs="Simplified Arabic"/>
          <w:sz w:val="28"/>
          <w:sz w:val="28"/>
          <w:szCs w:val="28"/>
          <w:rtl w:val="true"/>
          <w:lang w:bidi="ar-JO"/>
        </w:rPr>
        <w:t xml:space="preserve"> أي أرنا السّبيل الصّحيح ويتفضّل في الإنجيل قائلاً </w:t>
      </w:r>
      <w:r>
        <w:rPr>
          <w:rFonts w:ascii="Simplified Arabic" w:hAnsi="Simplified Arabic" w:cs="Simplified Arabic"/>
          <w:b/>
          <w:b/>
          <w:bCs/>
          <w:sz w:val="28"/>
          <w:sz w:val="28"/>
          <w:szCs w:val="28"/>
          <w:rtl w:val="true"/>
          <w:lang w:bidi="ar-JO"/>
        </w:rPr>
        <w:t>اذهبوا إلى أطراف العالم وبشّروا بظهور ملكوت الله</w:t>
      </w:r>
      <w:r>
        <w:rPr>
          <w:rFonts w:cs="Simplified Arabic" w:ascii="Simplified Arabic" w:hAnsi="Simplified Arabic"/>
          <w:b/>
          <w:bCs/>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وخلاصة القول أملي أن تبذلوا همّة عظيمة في هذا الصّدد، ويقينًا أنّكم سوف تتأيّدون وتتوفّقون وكلّ من بشّر النّاس بحقائق ظهور الملكوت ومعانيه إنّما مثله كمثل زارع يبذر البذور الطّاهرة في أرض طاهرة فتفيض عليها سحب الرّبيع بفيوضات أمطارها وتتكوّن البيادر من تلك البذور فيفتخر بذلك دون شكّ لدى سيّد القرية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إذن يا أحبّاء الله اغتنموا الوقت وقوموا على البذار لتحصلوا على البركة السّماويّة والموهبة الرّحمانيّة وعليكم البهاء الأبهى</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ع ع</w:t>
      </w:r>
    </w:p>
    <w:p>
      <w:pPr>
        <w:pStyle w:val="Normal"/>
        <w:bidi w:val="1"/>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left"/>
        <w:rPr>
          <w:rFonts w:ascii="Naskh MT for Bosch School" w:hAnsi="Naskh MT for Bosch School" w:cs="Simplified Arabic"/>
          <w:lang w:bidi="ar-JO"/>
        </w:rPr>
      </w:pPr>
      <w:r>
        <w:rPr>
          <w:rStyle w:val="FootnoteCharacters"/>
        </w:rPr>
        <w:footnoteRef/>
      </w:r>
      <w:r>
        <w:rPr>
          <w:rFonts w:cs="Simplified Arabic" w:ascii="Naskh MT for Bosch School" w:hAnsi="Naskh MT for Bosch School"/>
          <w:rtl w:val="true"/>
        </w:rPr>
        <w:tab/>
        <w:t xml:space="preserve"> </w:t>
      </w:r>
      <w:r>
        <w:rPr>
          <w:rFonts w:ascii="Naskh MT for Bosch School" w:hAnsi="Naskh MT for Bosch School" w:cs="Simplified Arabic"/>
          <w:rtl w:val="true"/>
          <w:lang w:bidi="ar-JO"/>
        </w:rPr>
        <w:t>حمر</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النعم</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كرائمها</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أي</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أجلدها</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وأصبرها</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وهي</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مثل</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في</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كل</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نفيس</w:t>
      </w:r>
      <w:r>
        <w:rPr>
          <w:rFonts w:cs="Simplified Arabic" w:ascii="Naskh MT for Bosch School" w:hAnsi="Naskh MT for Bosch School"/>
          <w:rtl w:val="true"/>
          <w:lang w:bidi="ar-JO"/>
        </w:rPr>
        <w:t>. (</w:t>
      </w:r>
      <w:r>
        <w:rPr>
          <w:rFonts w:ascii="Naskh MT for Bosch School" w:hAnsi="Naskh MT for Bosch School" w:cs="Simplified Arabic"/>
          <w:rtl w:val="true"/>
          <w:lang w:bidi="ar-JO"/>
        </w:rPr>
        <w:t>قاموس</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محيط</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المحيط</w:t>
      </w:r>
      <w:r>
        <w:rPr>
          <w:rFonts w:cs="Simplified Arabic" w:ascii="Naskh MT for Bosch School" w:hAnsi="Naskh MT for Bosch School"/>
          <w:rtl w:val="true"/>
          <w:lang w:bidi="ar-JO"/>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المجموعة الاول</w:t>
    </w:r>
    <w:r>
      <w:rPr>
        <w:rFonts w:ascii="Simplified Arabic" w:hAnsi="Simplified Arabic" w:cs="Simplified Arabic"/>
        <w:color w:val="0000FF"/>
        <w:rtl w:val="true"/>
      </w:rPr>
      <w:t>ى</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الثاني</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FootnoteTextChar">
    <w:name w:val="Footnote Text Char"/>
    <w:qFormat/>
    <w:rPr>
      <w:rFonts w:eastAsia="SimSun;宋体" w:cs="Arabic Transparent"/>
      <w:lang w:eastAsia="zh-C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ootnote">
    <w:name w:val="Footnote Text"/>
    <w:basedOn w:val="Normal"/>
    <w:pPr>
      <w:bidi w:val="1"/>
      <w:ind w:left="0" w:right="0" w:hanging="0"/>
      <w:jc w:val="left"/>
    </w:pPr>
    <w:rPr>
      <w:rFonts w:eastAsia="SimSun;宋体" w:cs="Arabic Transparent"/>
      <w:sz w:val="20"/>
      <w:szCs w:val="20"/>
      <w:lang w:eastAsia="zh-CN"/>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