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>لوح دوم</w:t>
      </w: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احبّاء و اماء رحمان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ايالات جنوبی ايالات متّحده صبح روز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٣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شنبه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٢٧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مارچ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در باغچه خارج روضه مبارکه در بهجی از فم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احبّاء و اماء رحمن در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ايالات متّحده امريکا 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دلاور، ماريلند، 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جينيا، وست ويرجينيا، نرت کارل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ا، سوت کارلا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ا، جورجيا، فلوريدا، الاباما، ميسی سيپی، تنسی، کانتاکی، لوئيزييانا ارکانسا، اکلاهاما، تکساس عليهم و عليهنّ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48"/>
          <w:szCs w:val="48"/>
        </w:rPr>
      </w:pPr>
      <w:r>
        <w:rPr>
          <w:rFonts w:ascii="Simplified Arabic" w:hAnsi="Simplified Arabic" w:eastAsia="MS Mincho;ＭＳ 明朝" w:cs="Simplified Arabi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ای مناديان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ملکوت اللّه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چند روز پيش بآن ياران الهی نامه‌ئی نگاشته گشت ولی چون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اين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ايّام عيد نوروز است لهذا بياد شما افتاديم و تهنيت عيد نوروز مينمائيم جميع ايّام مبارک است و لکن اين عيد عيد ملّی ايران است چند هزار سال است که اين عيد گرفته ميشود ولی فی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الحقيقه هر روزيرا که انسان بياد خدا و نشر نفحات اللّه و ندای بملکوت اللّه پردازد آن روز عيد مبارک است الحمد للّه شما شب و روز بخدمت ملکوت اللّه و ترويج دين اللّه مشغول و مألوف لهذا جميع ايّام شما اعياد است و البتّه عون و عنايت الهيّه بشما خواهد رسيد و قوای الهيّه و نفثات روح القدس تأييد شما خواهد کرد در ايالات جنوبی ايالات متّحده ياران قليل‌اند يعنی دلاور، ماريلند، ويرجينيا، وست ويرجينيا، نرت کارلا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ا، سوت کارلا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ا، جورجيا، فلوريدا الاباما، ميسی سيپی، تنسی، کانتاکی، لوئيزييانا، ارکانسا، اکلاهاما، تکساس لهذا بايد نفوس مبارکی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نجاها برويد و يا بفرستيد تا آن نفوس در آنصفحات مردم را بشارت بملکوت آسمانی دهند يکی از مظاهر مقدّسه بنفوس مؤمنه ميفرمايد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اگر انسان سبب روشنائی نفسی گردد بهتر از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ث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روت بی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پايان است 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 xml:space="preserve">[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يا عليّ لئن يهدی اللّه بک نفسا خير لک من حمر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النّعم 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]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و همچنين در قرآن ميفرمايد 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﴿</w:t>
      </w:r>
      <w:r>
        <w:rPr>
          <w:rFonts w:ascii="Simplified Arabic" w:hAnsi="Simplified Arabic" w:eastAsia="MS Mincho;ＭＳ 明朝" w:cs="Simplified Arabic"/>
          <w:color w:val="006600"/>
          <w:sz w:val="28"/>
          <w:sz w:val="28"/>
          <w:szCs w:val="28"/>
          <w:rtl w:val="true"/>
        </w:rPr>
        <w:t>اهْدِنَا الصِّرَاطَ المُسْتَقِيمَ</w:t>
      </w:r>
      <w:r>
        <w:rPr>
          <w:rFonts w:ascii="Simplified Arabic" w:hAnsi="Simplified Arabic" w:cs="Simplified Arabic"/>
          <w:color w:val="006600"/>
          <w:sz w:val="28"/>
          <w:sz w:val="28"/>
          <w:szCs w:val="28"/>
          <w:rtl w:val="true"/>
        </w:rPr>
        <w:t>﴾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يعنی بنما بما راه راست در انجيل ميفرمايد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طراف عالم رويد و بشارت بظهور ملکوت اللّه دهيد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باری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ميدوارم که در اينخصوص همّت عظيمه نمائيد و يقين است که مؤيّد و موفّق خواهيد گشت نفسی که بحقائق و معانی ظهور ملکوت بشارت دهد مانند دهقانی ماند که تخم پاک در زمين پاک افشاند و ابر نيسانی فيض باران مبذول دارد البتّه در نزد سروَرِ قريه سر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افراز گردد و خرمنها تشکيل نمايد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پس ای ياران الهی وقت را غنيمت شمريد و بتخم افشانی پردازيد تا برکت آسمانی و موهبت رحمانی يابيد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و عليکم البهاء الأبهی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  <w:tab/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  <w:lang w:bidi="ar-JO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اوّل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دوم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w:rPr>
        <w:rFonts w:ascii="Simplified Arabic" w:hAnsi="Simplified Arabic" w:cs="Simplified Arabic"/>
        <w:color w:val="0000FF"/>
        <w:rtl w:val="true"/>
      </w:rPr>
      <w:t xml:space="preserve">، صفحه </w:t>
    </w:r>
    <w:r>
      <w:rPr>
        <w:rFonts w:cs="Simplified Arabic" w:ascii="Simplified Arabic" w:hAnsi="Simplified Arabic"/>
        <w:color w:val="0000FF"/>
      </w:rPr>
      <w:t>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>–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</w:rPr>
      <w:t>63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