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>لوح س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  <w:lang w:bidi="fa-IR"/>
        </w:rPr>
        <w:t>و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مرکزی ايالات متّحده صبح چهار 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٢٩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مارچ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جلوی بيت مبارک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 و اماء رحمان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مرکزی ايالات متّحده ميشيگان ويسکنسن، ايلی‌نوا، ايندييانا، اُوهايو، منيزتا، آيووا ميسوری، نورت داکوتا، سوت داکوتا، نبراسکا کانساس عليهم و عليهن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نفوس آسمانی ای محافل روحانی ای مجامع ربّانی هر چند مدّتيست که در تحرير رسائل تأخير شد و اين بجهت صعوبت ارسال و مرسول بود حال چون اندکی سهولت حاصل لهذا بتحرير اين مختصر پرداختم تا دل و جان بياد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ان روح و ريحان يابد همواره اين آواره بدرگاه حضرت احديّت تضرّع و زاری مينمايد و ياران را عون و عنايت و تأييدات آسمانی طلبد هميشه در خاطريد فراموش نشده و نخواهيد شد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لطاف حضرت پروردگار اميدوارم که روز بروز بر ايمان و ايقان و ثبوت و استقامت بيفزائيد و سبب انتشار نفحات قدس گرديد هر چند در ايالات ايلی نوا و ويسکنسن و اوهايو و مينزتا و ميشيگان احبّا الحمد للّه موجود و در نهايت ثبوت و رسوخ محشور شب و روز جز نشر نفحات الهی مقصدی ندارند و بغير از ترويج تعاليم آسمانی مرا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ی 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مانند شمعها بنور محبّت اللّه روشنند و بمثابه طيور شکور در رياض معرفة اللّه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لحان روح بخش تغنّی مينمايند ولی در ايندييانا، ايودا، ميسوری، نرت داکوتا، سوت داکوتا نبراسکا، کانساس در اين ايالات عبور و مرور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حباب قليل و آنطوريکه بايد و شايد ندا بملکوت الهی نگشته و اعلان وحدت عالم انسانی نشده و نفوس مبارکی و مبل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غين منقطعی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نصفحات نرفته لهذا اين ولايات هنوز افسرده است بايد بهمّت ياران الهی در اين ولايات نيز نفوسی مشتعل بنار محبّت اللّه شوند و منجذب بملکوت اللّه گردند تا آن اقليم نيز روشن گردد و نسيم روح بخش گلشن ملکوت مشام اهالی را معطّر نمايد لهذا اگر ممکن گردد نفوسی منقطع الی اللّه و منزّه و مقدّس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نصفحات بفرستيد اگر اين نفوس در نهايت انجذاب باشند يقين است که در مدّتی قليله نتائج 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ظ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يمه خواهد بخشيد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بناء و بنات ملکوت مانند دهقان حقيقی هستند بهر خطّه و ديار که مرور نمايند جانفشانی کنند و تخم پاکی بيفشانند آن تخم پاک خرمنها تشکيل کند چنانچه در انجيل جليل ميفرمايد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: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چون تخم پاک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رض طيّبه طاهره افشانده گردد فيض و برکت آسمانی حصول يابد اميدوارم که شما موفّق و مؤيّد گرديد ابداً فتور در نشر تعاليم الهی نکنيد روز بروز بر همّت و سعی و کوشش بيفزائيد 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سوم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