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5: TABLET TO THE BAHÁ’ÍS OF CANADA AND GREENLAND</w:t>
      </w:r>
    </w:p>
    <w:p>
      <w:pPr>
        <w:pStyle w:val="Center"/>
        <w:jc w:val="both"/>
        <w:rPr>
          <w:rFonts w:ascii="Times New Roman" w:hAnsi="Times New Roman" w:cs="Times New Roman"/>
          <w:sz w:val="32"/>
          <w:szCs w:val="32"/>
        </w:rPr>
      </w:pPr>
      <w:bookmarkStart w:id="0" w:name="Page_26"/>
      <w:bookmarkStart w:id="1" w:name="Page_25"/>
      <w:bookmarkStart w:id="2" w:name="Page_24"/>
      <w:bookmarkEnd w:id="0"/>
      <w:bookmarkEnd w:id="1"/>
      <w:bookmarkEnd w:id="2"/>
      <w:r>
        <w:rPr>
          <w:rFonts w:cs="Times New Roman" w:ascii="Times New Roman" w:hAnsi="Times New Roman"/>
          <w:i/>
          <w:iCs/>
          <w:sz w:val="32"/>
          <w:szCs w:val="32"/>
        </w:rPr>
        <w:t xml:space="preserve">Revealed on April 5, 1916, in the garden adjacent to the Shrine of Bahá’u’lláh, and addressed to the Bahá’ís of Canada—Newfoundland, Prince Edward Island, Nova Scotia, New Brunswick, Quebec, Saskatchewan, Manitoba, Ontario, Alberta, British Columbia, Yukon, Mackenzie, Keewatin, Ungava, Franklin Islands—and Greenland. </w:t>
      </w:r>
    </w:p>
    <w:p>
      <w:pPr>
        <w:pStyle w:val="NormalWeb"/>
        <w:jc w:val="both"/>
        <w:rPr>
          <w:rFonts w:ascii="Times New Roman" w:hAnsi="Times New Roman" w:cs="Times New Roman"/>
          <w:sz w:val="32"/>
          <w:szCs w:val="32"/>
        </w:rPr>
      </w:pPr>
      <w:bookmarkStart w:id="3" w:name="Page_27"/>
      <w:bookmarkEnd w:id="3"/>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daughters and sons of the Kingdom: </w:t>
      </w:r>
    </w:p>
    <w:p>
      <w:pPr>
        <w:pStyle w:val="NormalWeb"/>
        <w:jc w:val="both"/>
        <w:rPr/>
      </w:pPr>
      <w:r>
        <w:rPr>
          <w:rFonts w:cs="Times New Roman" w:ascii="Times New Roman" w:hAnsi="Times New Roman"/>
          <w:sz w:val="32"/>
          <w:szCs w:val="32"/>
        </w:rPr>
        <w:t xml:space="preserve">ALTHOUGH 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 Likewise in the provinces of Canada, such as Newfoundland, Prince Edward Island, Nova Scotia, New Brunswick, Quebec, Ontario, Manitoba, Saskatchewan, Alberta, British Columbia, Ungava, Keewatin, Mackenzie, Yukon, and the Franklin Islands in the Arctic Circle—the believers of God must become self-sacrificing and like unto the candles of guidance become ignited in the </w:t>
      </w:r>
      <w:bookmarkStart w:id="4" w:name="Page_28"/>
      <w:bookmarkEnd w:id="4"/>
      <w:r>
        <w:rPr>
          <w:rFonts w:cs="Times New Roman" w:ascii="Times New Roman" w:hAnsi="Times New Roman"/>
          <w:sz w:val="32"/>
          <w:szCs w:val="32"/>
        </w:rPr>
        <w:t>provinces of Canada. Should they show forth such a magnanimity, it is assured that they will obtain universal divine confirmations, the heavenly cohorts will reinforce them uninterruptedly, and a most great victory will be obtained. God willing, the call of the Kingdom may reach the ears of the Eskimos, the inhabitants of the Islands of Franklin in the north of Canada, as well as Greenland. Should the fire of the love of God be kindled in Greenland,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 Should you display an effort, so that the fragrances of God may be diffused among the Eskimos, its effect will be very great and far-reaching. God says in the great Qur’án: A day will come wherein the lights of unity will enlighten all the world. “The earth will be irradiated with the light of its Lord.”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In other words, the earth will become illumined with the light of God. That light is the light of unity. “There is no God but God.” The continent and the islands of Eskimos are also parts of this earth. They must similarly receive a portion of the bestowals of the Most Great Guidance.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bookmarkStart w:id="5" w:name="Chapter_6"/>
      <w:bookmarkEnd w:id="5"/>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39:69.</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