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b/>
          <w:b/>
          <w:bCs/>
          <w:color w:val="0000CC"/>
          <w:sz w:val="72"/>
          <w:szCs w:val="72"/>
          <w:lang w:bidi="fa-IR"/>
        </w:rPr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72"/>
          <w:sz w:val="72"/>
          <w:szCs w:val="72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  <w:lang w:bidi="fa-IR"/>
        </w:rPr>
      </w:pPr>
      <w:r>
        <w:rPr>
          <w:rFonts w:eastAsia="MS Mincho;ＭＳ 明朝" w:cs="Traditional Arabic" w:ascii="Traditional Arabic" w:hAnsi="Traditional Arabic"/>
          <w:b/>
          <w:bCs/>
          <w:color w:val="0000C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اوّل فريضه اصحاب شور خلوص نيّت و نورانيّت حقيقت و انقطاع از ما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سوی اللّه و انجذاب بنفحات اللّه و خضوع و خشوع بين احبّا و صبر و تحمّل بر بلاء و بند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ی عتبه ساميه الهيّه است و چون باينصفات موفّق و مؤيّد گردند نصرت ملکوت غيب ابهی احاطه نمايد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ثانی فريضه اثبات وحدانيّت جمال غيب ابهی و مظهريّت کامله ربّانيّه حضرت نقطه اولی و عبوديّت محضه صرفه ذاتيّه کينونيّه باطنه حقيق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يّه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صريحه عبدالبهاء بدون شائبه ذکری دون آن و هذه غايتی القصوی و منتهی معارجی العليا و جنّتی المأوی و هی نور وجهی و منية قلبی و شفاء صدری و قرّة عينی و رواء غلّتی و برد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لوعتی و برء علّتی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مَن اعْتَقَدَ بِغَيْرِ هَذَا فَقَدْ خَالَفَ عبدالبهاء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ثالث فريضه ترويج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حکام الهيّه در بين احبّا از صلاة و صيام و حج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 حقوق و سائر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حکام الهيّه بالتمام و همچنين دائما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تشويق و تحريص کلّ احبّا بموجب نصوص قاطعه الهيّه بر اطاعت و خدمت سرير سلطنت عادله شهرياری و صداقت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امانت در خدمات اعلی حضرت دادپرور تاجداری و تمکين اولياء امور حکمرانی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رابع فريضه حفظ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صيانت عموم احبّاء در جميع موارد و مواقع و تمشيت امور عموميّه از قبيل تربيت اطفال و تهذيب اخلاق و تعليم علوم نافعه از جميع جهات و تأسيس مدارس و مکاتب بجهة ذکور و اناث و تکفّل فقراء و ضعفاء و صغار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ايتام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رامل و ايامی و تدبير وسائط صنعت و کسب و توسيع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حوال عموم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خامساً منع عموم از آنچه سبب فتنه و فساد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عدم مداخله در امور سياسيّه بالکلّيّه و عدم مکالمه در اين خصوص ولو بشق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شفه و دلالت بر تمکين در جميع احوال و سکون و محبّت و دوستی با عموم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سادسا مدار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با اهل فتور و تشبّث بجميع وسائل در ارجاع آن نفوس بر ميثاق حضرت رحمن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  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عبدالبهاء عبّاس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 </w:t>
      </w:r>
    </w:p>
    <w:p>
      <w:pPr>
        <w:pStyle w:val="Normal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</w:rPr>
      </w:r>
    </w:p>
    <w:p>
      <w:pPr>
        <w:pStyle w:val="Normal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</w:rPr>
      </w:r>
    </w:p>
    <w:p>
      <w:pPr>
        <w:pStyle w:val="Normal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Style w:val="PageNumber"/>
        <w:b/>
        <w:b/>
        <w:bCs/>
        <w:color w:val="0000FF"/>
        <w:rtl w:val="true"/>
      </w:rPr>
      <w:t xml:space="preserve">لوح محفل شور </w:t>
    </w:r>
    <w:r>
      <w:rPr>
        <w:rStyle w:val="PageNumber"/>
        <w:b/>
        <w:bCs/>
        <w:color w:val="0000FF"/>
        <w:rtl w:val="true"/>
      </w:rPr>
      <w:t>(</w:t>
    </w:r>
    <w:r>
      <w:rPr>
        <w:rStyle w:val="PageNumber"/>
        <w:b/>
        <w:b/>
        <w:bCs/>
        <w:color w:val="0000FF"/>
        <w:rtl w:val="true"/>
      </w:rPr>
      <w:t>نیویورک</w:t>
    </w:r>
    <w:r>
      <w:rPr>
        <w:rStyle w:val="PageNumber"/>
        <w:b/>
        <w:bCs/>
        <w:color w:val="0000FF"/>
        <w:rtl w:val="true"/>
      </w:rPr>
      <w:t xml:space="preserve">) - </w:t>
    </w:r>
    <w:r>
      <w:rPr>
        <w:rStyle w:val="PageNumber"/>
        <w:b/>
        <w:b/>
        <w:bCs/>
        <w:color w:val="0000FF"/>
        <w:rtl w:val="true"/>
      </w:rPr>
      <w:t xml:space="preserve">حضرت عبدالبهاء – مكاتيب حضرت عبدالبهاء، جلد </w:t>
    </w:r>
    <w:r>
      <w:rPr>
        <w:rStyle w:val="PageNumber"/>
        <w:b/>
        <w:b/>
        <w:bCs/>
        <w:color w:val="0000FF"/>
        <w:lang w:bidi="fa-IR"/>
      </w:rPr>
      <w:t>۳</w:t>
    </w:r>
    <w:r>
      <w:rPr>
        <w:rStyle w:val="PageNumber"/>
        <w:b/>
        <w:b/>
        <w:bCs/>
        <w:color w:val="0000FF"/>
        <w:rtl w:val="true"/>
      </w:rPr>
      <w:t xml:space="preserve">، صفحه </w:t>
    </w:r>
    <w:r>
      <w:rPr>
        <w:rStyle w:val="PageNumber"/>
        <w:b/>
        <w:b/>
        <w:bCs/>
        <w:color w:val="0000FF"/>
      </w:rPr>
      <w:t>٥</w:t>
    </w:r>
    <w:r>
      <w:rPr>
        <w:rStyle w:val="PageNumber"/>
        <w:b/>
        <w:b/>
        <w:bCs/>
        <w:color w:val="0000FF"/>
        <w:lang w:bidi="fa-IR"/>
      </w:rPr>
      <w:t>۰</w:t>
    </w:r>
    <w:r>
      <w:rPr>
        <w:rStyle w:val="PageNumber"/>
        <w:b/>
        <w:b/>
        <w:bCs/>
        <w:color w:val="0000FF"/>
      </w:rPr>
      <w:t>٤</w:t>
    </w:r>
    <w:r>
      <w:rPr>
        <w:rStyle w:val="PageNumber"/>
        <w:b/>
        <w:b/>
        <w:bCs/>
        <w:color w:val="0000FF"/>
        <w:rtl w:val="true"/>
      </w:rPr>
      <w:t xml:space="preserve"> </w:t>
    </w:r>
    <w:r>
      <w:rPr>
        <w:rStyle w:val="PageNumber"/>
        <w:b/>
        <w:bCs/>
        <w:color w:val="0000FF"/>
        <w:rtl w:val="true"/>
      </w:rPr>
      <w:t xml:space="preserve">- </w:t>
    </w:r>
    <w:r>
      <w:rPr>
        <w:rStyle w:val="PageNumber"/>
        <w:b/>
        <w:b/>
        <w:bCs/>
        <w:color w:val="0000FF"/>
      </w:rPr>
      <w:t>٥</w:t>
    </w:r>
    <w:r>
      <w:rPr>
        <w:rStyle w:val="PageNumber"/>
        <w:b/>
        <w:b/>
        <w:bCs/>
        <w:color w:val="0000FF"/>
        <w:lang w:bidi="fa-IR"/>
      </w:rPr>
      <w:t>۰</w:t>
    </w:r>
    <w:r>
      <w:rPr>
        <w:rStyle w:val="PageNumber"/>
        <w:b/>
        <w:b/>
        <w:bCs/>
        <w:color w:val="0000FF"/>
      </w:rPr>
      <w:t>٥</w:t>
    </w:r>
    <w:r>
      <w:rPr>
        <w:b/>
        <w:b/>
        <w:bCs/>
        <w:color w:val="0000FF"/>
        <w:rtl w:val="true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