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52"/>
          <w:szCs w:val="52"/>
        </w:rPr>
      </w:pP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( </w:t>
      </w:r>
      <w:r>
        <w:rPr>
          <w:rFonts w:ascii="Simplified Arabic" w:hAnsi="Simplified Arabic" w:cs="Simplified Arabic"/>
          <w:b/>
          <w:b/>
          <w:bCs/>
          <w:sz w:val="52"/>
          <w:sz w:val="52"/>
          <w:szCs w:val="52"/>
          <w:rtl w:val="true"/>
        </w:rPr>
        <w:t xml:space="preserve">ک </w:t>
      </w:r>
      <w:r>
        <w:rPr>
          <w:rFonts w:cs="Simplified Arabic" w:ascii="Simplified Arabic" w:hAnsi="Simplified Arabic"/>
          <w:b/>
          <w:bCs/>
          <w:sz w:val="52"/>
          <w:szCs w:val="52"/>
          <w:rtl w:val="true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0000CC"/>
          <w:sz w:val="52"/>
          <w:sz w:val="52"/>
          <w:szCs w:val="52"/>
          <w:rtl w:val="true"/>
        </w:rPr>
        <w:t>ضرورت تعميد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غسل تعميد موافقست و لازم يا آنکه غير موافق و غير لازم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سؤال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غسل تعميد يا موافق است و لازم يا آنکه غير موافق و غير لازم در صورت اولی با وجود لزوم چگونه منسوخ شد و در صورت ثانيه با وجود عدم لزوم چگونه يوحنّا مجری داشت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؟</w:t>
      </w:r>
    </w:p>
    <w:p>
      <w:pPr>
        <w:pStyle w:val="PlainText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ascii="Simplified Arabic" w:hAnsi="Simplified Arabic" w:cs="Simplified Arabic"/>
          <w:b/>
          <w:b/>
          <w:bCs/>
          <w:sz w:val="36"/>
          <w:sz w:val="36"/>
          <w:szCs w:val="36"/>
          <w:rtl w:val="true"/>
        </w:rPr>
        <w:t>جواب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تغيّر احوال و تبدّل و انقلاب زمان از لوازم ذاتيّه ممکناتست و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لزوم ذاتی از حقيقت اشيا انفکاک ندارد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مثلاً انفکاک حرارت از آتش رطوبت از ماء شعاع از شمس محال و ممتنع است زيرا لزوم ذاتی است و چون تغيّر و تبدّل حال از لوازم ممکناتست لهذا احکام نيز بسبب تبدّل و تغيّر زمان تبديل شود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مثلاً در زمان موسی مقتضی و مناسب حال شريعت موسويّه بود و چون در زمان حضرت مسيح آن حال تبدّل و تغيّر يافت بقسمی که ديگر شريعت موسويّه مناسب و موافق عالم انسانی نبود لهذا نسخ گرديد چنانچه حضرت روح سبت را شکست و طلاقرا حرام فرمود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بعد از حضرت مسيح حواريّون اربعه من جمله پطرس و پولس حيوانات محرّمه تورات را تحليل کردند ماعدای لحم مخنوق و قرابين اصنام و خون و همچنين زنا اين احکام اربعه را باقی گذاشتند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بعد پولس لحم مخنوق و ذبائح اصنام و دم را نيز حلال نمود و تحريم زنا را باقی گذاشت چنانکه بولس در آيه چهاردهم از فصل چهاردهم از رساله خود باهل روميّه مينويسد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من ميدانم و معتقدم بربّ مسيح که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هيچ چيز نجس العين نيست بلکه هر چيز نجس است بجهت آنکس که نجس ميشمرد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همچنين در آيه پانزدهم از فصل اوّل از رساله بولس 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ه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طيطوس مذکور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"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جميع اشيا بجهت پاکان پاکست و از برای ناپاک چيزی پاک نيست زيرا آنان کلّ نجسند حتّی عقول و ضمائرشان </w:t>
      </w:r>
      <w:r>
        <w:rPr>
          <w:rFonts w:cs="Simplified Arabic" w:ascii="Simplified Arabic" w:hAnsi="Simplified Arabic"/>
          <w:sz w:val="36"/>
          <w:szCs w:val="36"/>
          <w:rtl w:val="true"/>
        </w:rPr>
        <w:t>"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حال اين تغيير و تبديل و نسخ بجهت آن بود که عصر مسيح قياس بعصر موسی نميشد بلکه حال و مقتضی بکلّی تغيير و تبديل يافت لهذا آن احکام منسوخ گرديد زيرا وجود عالم مانند انسانست و انبيا و رسل الهی طبيبان حاذق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شخص انسانی بر حالت واحده نماند امراض مختلفه عارض گردد و هر مرضی را علاجی مخصوص پس طبيب حاذق هر علل و مرضرا معالجه واحده ننمايد بلکه بمقتضای اختلاف امراض و احوال ادويه و علاج را تغيير دهد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زيرا بر اين شخص مرض هائل از حرارت عارض بود فلابدّ طبيب حاذق ادويه بارده داد و چون وقتی ديگر مزاج اين شخص منقلب شد حرارت ببرودت تبديل گشت لابدّ طبيب حاذق ادويه بارده را نسخ نمود و ادويه حارّه تجويز نمود و اين تغيير و تبديل از مقتضای حال مريض است و بر حذاقت طبيب دليل جليل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مثلاً ملاحظه نمائيد آيا شريعت تورات در اين عصر و زمان ممکن ال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جراست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؟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لا و اللّه بلکه مستحيل و محالست پس لابدّ خداوند متعال آن شريعت تورات را در زمان مسيح نسخ فرمود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همچنين ملاحظه نمائيد که غسل تعميد در زمان يوحنّای معم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دان سبب تذکّر و تنبّه نفوس بود تا از جميع گناهان توبه نمايند و منتظر ظهور ملکوت مسيح گردند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امّا در اين ايّام در آسيا قاتوليک و ارتودکس اطفال شير خوار را در اين آب مخلوط بروغن زيتون غوطه دهند بقسمی که بعضی اطفال از اين زحمت مريض گردند و در وقت تعميد بلرزند و مضطرب شوند و در جای ديگر آب تعميد قسّيس بپيشانی بپاشد و اطفال چه شقّ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وّل و چه شقّ ثانی بهيچوجه احساس روحانی ندارند پس چه ثمری از اين حاصل بلکه سائر ملل تعجّب و استغراب نمايند که اين طفل رضيع را چرا در اين آب غوطه دهند نه سبب تنبّه طفل است و نه سبب ايمان و نه سبب ايقاظ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مجرّد يک عادتی است که مجری ميدارند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امّا در زمان يوحنّای معم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ّ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دان چنين نبود بلکه حضرت يوحنّا ابتدا نفوسرا نصيحت ميفرمود و بتوبه از گناه دلالت ميکرد و بانتظار ظهور مسيح تشويق مينمود هر نفسی که غسل تعميد می يافت در نهايت تضرّع و خشوع توبه از گناه ميکرد و جسد خويش را نيز از اوساخ ظاهری طيّب و طاهر مينمود و در کمال اشتياق شب و روز آناً فآناً منتظر ظهور مسيح بود و دخول در ملکوت روح اللّه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باری مقصود اينست که تغيير و تبديل احوال و انقلاب مقتضيات قرون و اعصار سبب نسخ شرايع گردد زيرا زمانی آيد که آن احکام موافق و مطابق احوال نباشد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ملاحظه نمائيد که مقتضيات قرون اولی با مقتضيات قرون وسطی با مقتضيات قرون اخيره چه قدر متفاوتست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ممکن است الآن که احکام قرون اولی در اين قرون اخيره جاری گردد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؟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واضح است که ممتنع و محال است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 همچنين بعد از قرون کثيره که بگذرد مقتضای قرون حاليّه موافق قرون آتيه نباشد و لابدّ از تغيير و تبديل است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در اروپا احکام متّصلاً تغيير و تبديل کند چه بسيار حکم که در سنين سابقه در قوانين و نظامات 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>ر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وپا موجود بود و حال منسوخ گشته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اين تغيير و تبديل بجهت تبدّل و تغيّر افکار و احوال و اطوار است و بدون اين سعادت عالم بشريّه مختلّ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مثلاً حکم تورات است که اگر سبت را کسی بشکند حکم قتل است بلکه ده حکم قتل در تورات است حال در قرون حاليّه ممکن است اين احکام اجرا گردد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  <w:lang w:bidi="fa-IR"/>
        </w:rPr>
        <w:t xml:space="preserve"> ؟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واضح است که ممتنع و مستحيل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لهذا تغيّر و تبدّل يافت و اين تبدّل و تغيّر احکام دليل کافی بر حکمت بالغه الهيّه است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در اين مسأله تعمّق لازمست و سبب لائح و واضح طوبی للمتفکّرين </w:t>
      </w:r>
      <w:r>
        <w:rPr>
          <w:rFonts w:cs="Simplified Arabic" w:ascii="Simplified Arabic" w:hAnsi="Simplified Arabic"/>
          <w:sz w:val="36"/>
          <w:szCs w:val="36"/>
          <w:rtl w:val="true"/>
          <w:lang w:bidi="fa-IR"/>
        </w:rPr>
        <w:t>.</w:t>
      </w:r>
    </w:p>
    <w:p>
      <w:pPr>
        <w:pStyle w:val="PlainText"/>
        <w:bidi w:val="1"/>
        <w:ind w:left="0" w:right="0" w:hanging="0"/>
        <w:jc w:val="both"/>
        <w:rPr>
          <w:rFonts w:ascii="Simplified Arabic" w:hAnsi="Simplified Arabic" w:eastAsia="MS Mincho;ＭＳ 明朝" w:cs="Simplified Arabic"/>
          <w:color w:val="FF0000"/>
          <w:sz w:val="36"/>
          <w:szCs w:val="36"/>
        </w:rPr>
      </w:pPr>
      <w:r>
        <w:rPr>
          <w:rFonts w:eastAsia="Simplified Arabic" w:cs="Simplified Arabic" w:ascii="Simplified Arabic" w:hAnsi="Simplified Arabic"/>
          <w:color w:val="FF0000"/>
          <w:sz w:val="36"/>
          <w:szCs w:val="36"/>
          <w:rtl w:val="true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CC"/>
      </w:rPr>
    </w:pP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مفاوضات </w:t>
    </w:r>
    <w:r>
      <w:rPr>
        <w:rFonts w:cs="Simplified Arabic" w:ascii="Simplified Arabic" w:hAnsi="Simplified Arabic"/>
        <w:b/>
        <w:bCs/>
        <w:color w:val="0000CC"/>
        <w:rtl w:val="true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rtl w:val="true"/>
      </w:rPr>
      <w:t xml:space="preserve">اثر حضرت عبدالبهاء – بر اساس نسخه  طبع 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سنهء </w:t>
    </w:r>
    <w:r>
      <w:rPr>
        <w:rFonts w:ascii="Simplified Arabic" w:hAnsi="Simplified Arabic" w:cs="Simplified Arabic"/>
        <w:b/>
        <w:b/>
        <w:bCs/>
        <w:color w:val="0000CC"/>
        <w:lang w:bidi="fa-IR"/>
      </w:rPr>
      <w:t>١٩٠٨</w:t>
    </w:r>
    <w:r>
      <w:rPr>
        <w:rFonts w:ascii="Simplified Arabic" w:hAnsi="Simplified Arabic" w:cs="Simplified Arabic"/>
        <w:b/>
        <w:b/>
        <w:bCs/>
        <w:color w:val="0000CC"/>
        <w:rtl w:val="true"/>
        <w:lang w:bidi="fa-IR"/>
      </w:rPr>
      <w:t xml:space="preserve"> م</w:t>
    </w:r>
    <w:r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  <w:sz w:val="36"/>
                              <w:szCs w:val="36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  <w:sz w:val="36"/>
                        <w:szCs w:val="36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  <w:p>
    <w:pPr>
      <w:pStyle w:val="Header"/>
      <w:bidi w:val="1"/>
      <w:ind w:left="0" w:right="360" w:hanging="0"/>
      <w:jc w:val="left"/>
      <w:rPr>
        <w:rFonts w:ascii="Arial" w:hAnsi="Arial" w:cs="Arial"/>
        <w:b/>
        <w:b/>
        <w:bCs/>
        <w:color w:val="000000"/>
      </w:rPr>
    </w:pPr>
    <w:r>
      <w:rPr>
        <w:rFonts w:cs="Arial" w:ascii="Arial" w:hAnsi="Arial"/>
        <w:b/>
        <w:bCs/>
        <w:color w:val="000000"/>
        <w:rtl w:val="true"/>
      </w:rPr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