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4"/>
          <w:szCs w:val="44"/>
        </w:rPr>
      </w:pPr>
      <w:r>
        <w:rPr>
          <w:rFonts w:cs="Simplified Arabic" w:ascii="Simplified Arabic" w:hAnsi="Simplified Arabic"/>
          <w:b/>
          <w:bCs/>
          <w:sz w:val="44"/>
          <w:szCs w:val="44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44"/>
          <w:sz w:val="44"/>
          <w:szCs w:val="44"/>
          <w:rtl w:val="true"/>
        </w:rPr>
        <w:t xml:space="preserve">مد </w:t>
      </w:r>
      <w:r>
        <w:rPr>
          <w:rFonts w:cs="Simplified Arabic" w:ascii="Simplified Arabic" w:hAnsi="Simplified Arabic"/>
          <w:b/>
          <w:bCs/>
          <w:sz w:val="44"/>
          <w:szCs w:val="44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40"/>
          <w:sz w:val="40"/>
          <w:szCs w:val="40"/>
          <w:rtl w:val="true"/>
        </w:rPr>
        <w:t>بعضی عتابها که در کتب مقدّسه ظاهراً خطاب بانبياست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36"/>
          <w:szCs w:val="36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36"/>
          <w:sz w:val="36"/>
          <w:szCs w:val="36"/>
          <w:rtl w:val="true"/>
        </w:rPr>
        <w:t>در حقيقت مخاطب بآنها امّت است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کتب مقدّسه بعضی از خطابهای زجريّه که از روی عتاب بانبياست آيا مخاطب کيست و آن اعتاب بر که واقع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هر خطاب الهی که از روی عتابست و لو بظاهر بانبياست ولی بحقيقت آن خطاب توجّه بامّت دارد و حکمتش محض شفقت است تا امّت افسرده و دلگير نگردند و خطاب و عتاب گران نيايد لهذا بظاهر خطاب بانبياست پس هر چند بظاهر خطاب بنبيّ است ولی در باطن بامّت است نه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پيغمبر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ازين گذشته پادشاه مقتدر مستقلّ اقليمی عبارت از جميع آن اقليم است يعنی آنچه گويد قول کلّ است و هر عهدی بنمايد عهد کلّ چه که اراده و مشيّت عموم اهالی فانی در اراده و مشيّت اوست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بهمچنين هر پيغمبری عبارت از هيأت  عمومی امّت است لهذا عهد و خطاب الهی باو عهد و خطاب با کلّ امّت است و اغلب خطاب زجری و عتاب بر ملّت قدری گران آيد و سبب انکسار قلوب گردد لهذا حکمت بالغه چنان اقتضا کند و اين از نفس تورات معلوم است که بنی اسرائيل مخالفت کردند و بحضرت موسی گفتند که ما نميتوانيم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 عمالقه جنگ نمائيم زيرا قوی و شديد و شجيعند خدا موسی و هارون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عتاب فرمود و حضرت موسی در نهايت اطاعت بود نه عصيان و البتّه چنين شخص بزرگواری که واسطه فيض الهی و تبليغ شريعت است البتّه بايد مطيع امر اللّه باشد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نفوس مبارکه مانند اوراق شجرند که بهبوب نسيم متحرّکست نه باراده خود چه که اين نفوس مبارکه منجذب بنفحات محب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ة اللّه‌اند و اراده شان بکلّی منسلب قولشان قول خدا و امرشان امر خدا و نهيشان نهی خداست بمثابه اين زجاج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روشنائی او از سراج است و هر چند بحسب ظاهر شعاع از زجاج ساطع و لکن فی الحقيقه آن شعاع از سراج لامع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همچنين انبيای الهی و مظاهر ظهور را حرکت و سکون بوحی الهی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نه بشهوات انسانی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اگر چنين نباشد آن پيغمبر چگونه امين است و چگونه سفير حقّ گردد و اوامر و نواهی حقّ را تبليغ نمايد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پس آنچه در کتب مقدّسه در حقّ مظاهر ظهور ذکر قصور است ازين قبيل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الحمد للّه تو اينجا آمدی و بندگان الهی را ملاقات نمودی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آيا رائحه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جز رضای حقّ استشمام کردی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لا و اللّه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بچشم خود ديدی که شب و روز چگونه در سعی و کوششند و مقصدی جز اعلاء کلمة اللّه و تربيت نفوس و اصلاح امم و ترقّيات روحانی و ترويج صلح عمومی و خيرخواهی نوع انسانی و مهربانی با جميع ملل و جانفشانی در خير بشر و انقطاع از منافع ذاتی و خدمت بفضائل عالم انسانی ندارند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باری بر سر مطلب رويم مثلاً در تورات در کتاب اشعيا در باب </w:t>
      </w:r>
      <w:r>
        <w:rPr>
          <w:rFonts w:ascii="Simplified Arabic" w:hAnsi="Simplified Arabic" w:cs="Simplified Arabic"/>
          <w:sz w:val="36"/>
          <w:sz w:val="36"/>
          <w:szCs w:val="36"/>
        </w:rPr>
        <w:t>٤٨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در آيه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</w:rPr>
        <w:t>١٢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ای يعقوب و ای دعوت شده من اسرائيل بشنو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من او هستم من اوّل هستم و آخر هستم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اين معلوم است که مراد يعقوب که اسرائيل است نبوده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مقصود بنی اسرائيل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در کتاب اشعيا در باب چهل و سيّم در آيه اوّل ميفرمايد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الآن خداوند که آفريننده تو ای يعقوب و صانع تو ای اسرائيل است چنين ميگويد مترس زيرا که من تو را فديه دادم و تو را باسمت خواندم پس تو از آن من هستی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از اين گذشته در سفر اعداد در تورات در باب بيستم در آيه بيست و سيّم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خداوند موسی و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رون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در کوه هور نزد سرحدّ زمين ادوم خطاب کرده گفت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رون بقوم خود خواهد پيوست زيرا شما نزد آب مريبه از قول من عصيان ورزيديد ازين جهت او بزمينی که ببنی اسرائيل دادم داخل نخواهد شد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در آيه سيزدهم ميگويد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است آب مريبه جائيکه بنی اسرائيل با خدا مخاصمه کردند و او خود را در ميان ايشان تقديس نمود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ملاحظه نمائيد عصيان را بنی اسرائيل نمودند لکن بظاهر عتاب بموسی و 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رون شد چنانکه در باب سيّم آيه بيست و ششم از تورات تثنيه ميفرمايد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خداوند بخاطر شما با من غضبناک شد مرا اجابت ننمود و خداوند مرا گفت ترا کافيست بار ديگر در باره اين امر با من سخن مگو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حالا اين خطاب و عتاب فی الحقيقه بامّت اسرائيل است که بجهت عصيان امر الهی مدّت مديده در صحرای تيه آن سمت اردن گرفتار بودند تا زمان يوشع عليه السّلام حال اين خطاب و عتاب بظاهر بحضرت موسی و هارون بود و لکن فی الحقيقه بامّت اسرائيل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در قرآن خطاب بحضرت محمّد ميفرمايد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"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اِنَّا فَتَحْنَا لَکَ فَتْحَاً مُبِيناً لِيَغْفِرَ لَکَ اَللّهُ مَا تَقَدَّمَ مِنْ ذَنْبِکَ وَ مَا تَأَخَّرَ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يعنی ما برای تو فتحی آشکار نموديم تا گناهان پيشين و پسين تو را بيامرزيم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اين خطاب هر چند بظاهر بحضرت محمّد بود و لکن فی الحقيقه اين خطاب بعموم ملّت و اين محض حکمت بالغه الهيّه است چنانچه گذشت تا قلوب مضطرب نگردد و مشوّش و منزجر نشود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چه بسيار که انبيای الهی و مظاهر ظهور کلّی در مناجات اعتراف بقصور و گناه نموده‌اند اين من باب تعليم بسائر نفوس است و تشويق و تحريص بر خضوع و خشوع و اعتراف بر گناه و قصور و الّا آن نفوس مقدّسه پاک از هر گناهند و منزّه از خطا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در انجيل ميفرمايد که شخصی بحضور حضرت مسيح آمد عرض کرد ای معلّم نيکو کار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حضرت فرمودند چرا مرا نيکو کار گفتی زيرا نيکوکار يکيست و آن خداست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حالا مقصد اين نيست که حضرت معاذ اللّه گنه کار بوده‌اند بلکه مراد تعليم خضوع و خشوع و خجلت و شرمساری بآن شخص مخاطب بود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نفوس مبارکه انوارند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نور با ظلمت جمع نشود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حياتند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حيات با ممات مجتمع نگردد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هدايتند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هدايت با ضلالت جمع نشود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حقيقت اطاعتند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،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اطاعت با عصيان مجتمع نگردد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باری مقصود اينست که خطاب از روی عتاب در کتب مقدّسه هر چند بظاهر بانبياست يعنی مظاهر الهيّه ولی بحقيقت مقصد امّت است و چون در کتاب مقدّس تتبّع نمائی واضح و آشکار گردد و السّلام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