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lang w:bidi="ar-JO"/>
        </w:rPr>
      </w:pPr>
      <w:r>
        <w:rPr>
          <w:rFonts w:cs="Simplified Arabic" w:ascii="Simplified Arabic" w:hAnsi="Simplified Arabic"/>
          <w:rtl w:val="true"/>
        </w:rPr>
        <w:t>(</w:t>
      </w:r>
      <w:r>
        <w:rPr>
          <w:rFonts w:cs="Simplified Arabic" w:ascii="Simplified Arabic" w:hAnsi="Simplified Arabic"/>
        </w:rPr>
        <w:t>45</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مسألة النّشوء والارتقاء للكائنات</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السّؤال</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ماذا ترون فيما يقوله بعض فلاسفة أوروبا في مسألة النّشوء والارتقاء للكائنات؟</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الجواب</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سبق أن تكلّمنا عن هذه المسألة ولكنّنا سنتكلّم فيها مرّةً أخرى، مجمل القول أنّ الكلام في هذه المسألة سينتهي إلى تقرير أصالة النّوع الإنسانيّ أو عدم أصالته، يعني هل النّوع الإنسانيّ كان أصلاً مستقلاً بنفسه أم تفرّع بعدئذ عن الحيوان، فبعض فلاسفة أوروبا متّفقون على أنّ للنّوع نشوءاً وارتقاءً بل إنّ التّبديل والتّغيير ممكن أيضاً، ومن جملة الأدلّة الّتي يقيمونها لإثبات هذه النّظريّة أنّه بواسطة علم طبقات الأرض والتّدقيق والتّحقيق فيها ظهر واتّضح لهم أسبقيّة وجود النّبات على الحيوان وأسبقيّة وجود الحيوان على الإنسان، واتّفقوا على أنّ جنس الحيوان والنّبات كليهما تغيّر، لأنّه اكتشف في بعض طبقات الأرض نباتات كانت موجودة في القديم وهي الآن مفقودة، بمعنى أنّها ترقّت وصارت أقوى وتبدّلت هيئتها وشكلها، لهذا تبدّل النّوع، وكذلك وجد في طبقات الأرض أنواع من الحيوان تغيّرت وتبدّلت، ومن جملة الأنواع الحيوانيّة الثّعبان الذّي توجد له أعضاء يستدلّ منها أنّه كان يوماً ما ذا أرجل، ولكنّها تلاشت بمرور الزّمان وبقيت آثارها محفوظة، وكذلك توجد آثار في العمود الفقريّ للإنسان ويستدلّ منها على أنّه كان يوماً ما له ذيل كسائر الحيوان،</w:t>
      </w:r>
      <w:r>
        <w:rPr>
          <w:rFonts w:ascii="Simplified Arabic" w:hAnsi="Simplified Arabic"/>
          <w:b w:val="false"/>
          <w:b w:val="false"/>
          <w:bCs w:val="false"/>
          <w:rtl w:val="true"/>
        </w:rPr>
        <w:t xml:space="preserve"> </w:t>
      </w:r>
      <w:r>
        <w:rPr>
          <w:rFonts w:ascii="Simplified Arabic" w:hAnsi="Simplified Arabic"/>
          <w:b w:val="false"/>
          <w:b w:val="false"/>
          <w:bCs w:val="false"/>
          <w:rtl w:val="true"/>
        </w:rPr>
        <w:t>ومتّفقون على أنّ آثاره لا تزال باقية، وكان ذلك العضو مفيداً وقتاً ما، ولمّا ترقّى الإنسان لم يبقَ لذلك العضو فائدة وتلاشى بالتّدريج، ولمّا اتّخذ الثّعبان مأواه في باطن الأرض وصار من الحيوان الزّاحف أصبح في غنى عن الأرجل، ولذلك تلاشت ولكن آثارها باقية، وأعظم برهان لديهم هو أنّ وجود آثار هذه الأعضاء يدلّ على أنّها كانت موجودة وانمحت تدريجيّاً لعدم فائدتها، وليس لتلك الأجزاء الأثريّة الآن من حكمة أو فائدة، فبناءً عليه بقيت الأعضاء اللاّزمة الكاملة وزالت بالتّدريج الأعضاء الّتي لا لزوم لها لتغيّر النّوع ولكنّ أثرها باقٍ</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والجواب</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أوّلاً إنّ أسبقيّة الحيوان على الإنسان ليست دليلاً على ترقّي النّوع وتغييره وتبديله وعلى أنّه تطوّر من عالم الحيوان إلى عالم الإنسان، لأنّه ما دام حدوث الكائنات المختلفة مسلّماً به فمن الجائز أن يكون وجود الإنسان بعد وجود الحيوان، كما أنّنا نلاحظ في عالم النّبات أنّ أثمار الأشجار المختلفة لا توجد كلّها دفعة واحدة، بل ينضج بعضها قبل البعض الآخر، فتلك الأسبقيّة ليست دليلاً على أنّ ثمرة متأخرّة النّضوج لشجرة ما إنّما نتجت من ثمرة مبكّرة النّضوج لشجرة أخرى</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 xml:space="preserve">ثانياً إنّ هذه الإمارات الصّغيرة والأجزاء الأثريّة ربّما تكون لها حكمة عظيمة لم تصل إليها العقول حتّى الآن، وكم من موجود لم تعلم حكمة وجوده إلى الآن، كما أنّه مذكور في علم الفيسيولوجيا </w:t>
      </w:r>
      <w:r>
        <w:rPr>
          <w:rFonts w:cs="Simplified Arabic" w:ascii="Simplified Arabic" w:hAnsi="Simplified Arabic"/>
          <w:b w:val="false"/>
          <w:bCs w:val="false"/>
          <w:rtl w:val="true"/>
        </w:rPr>
        <w:t>(</w:t>
      </w:r>
      <w:r>
        <w:rPr>
          <w:rFonts w:ascii="Simplified Arabic" w:hAnsi="Simplified Arabic"/>
          <w:b w:val="false"/>
          <w:b w:val="false"/>
          <w:bCs w:val="false"/>
          <w:rtl w:val="true"/>
        </w:rPr>
        <w:t>يعني معرفة تركيب الأعضاء</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أنّ حكمة اختلاف ألوان الحيوان وشعر الإنسان واحمرار الشّفاه وتنوّع ألوان الطّيور غير معلومة إلى الآن بل هي مخفيّة مستورة، ولكنّ حكمة سواد حدقة العين فقد عُلِمَ أنّها لجذب أشعّة الشّمس، لأنّها لو كانت لوناً آخر أبيض ناصعاً مثلاً ما جذبت أشعّة الشّمس، إذاً ما دامت حكمة هذه الأمور المذكورة مجهولة، فجائز أن تكون حكمة الأجزاء الأثريّة وعلّتها سواء في الحيوان أو الإنسان أيضاً غير معلومة ولكن لا بدّ لها من حكمة ولو أنّها لم تعلم الآن</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 xml:space="preserve">ثالثاً نفرض أنّه كان في وقت ما لبعض الحيوان حتّى الإنسان عضو وزال الآن، فليس هذا ببرهان كافٍ على تغيّر النّوع وترقيته، لأنّ الإنسان من بداية انعقاد النّطفة حتّى يصل إلى درجة البلوغ يأخذ هيئات وأشكال متنوّعة، تتغيّر فيها سيماه وهيئته وشكله ولونه بالكلّيّة، يعني يتحوّل من هيئة إلى هيئة أخرى ومن شكل إلى شكل آخر، ومع ذلك فإنّه من بداية انعقاد النّطفة كان من نوع الإنسان، يعني أنّ تلك النّطفة كانت نطفة إنسان لا حيوان، ولكنّها كانت مخفيّة ثمّ ظهرت وبرزت، مثلاً نفرض أنّ الإنسان كان مشابهاً للحيوان وقتاً ما وترقّى الآن وتغيّر، فعلى فرض التّسليم بهذا القول لا يكون دليلاً على تغيّر النّوع بل يكون بمثابة تغيّر نطفة الإنسان وتبدّلها حتّى تصل إلى درجة الرّشد والكمال كما ذكر، وبأوضح من هذا نقول لنفرض أنّ الإنسان كان يمشي على أربع </w:t>
      </w:r>
      <w:r>
        <w:rPr>
          <w:rFonts w:cs="Simplified Arabic" w:ascii="Simplified Arabic" w:hAnsi="Simplified Arabic"/>
          <w:b w:val="false"/>
          <w:bCs w:val="false"/>
          <w:rtl w:val="true"/>
        </w:rPr>
        <w:t>(</w:t>
      </w:r>
      <w:r>
        <w:rPr>
          <w:rFonts w:ascii="Simplified Arabic" w:hAnsi="Simplified Arabic"/>
          <w:b w:val="false"/>
          <w:b w:val="false"/>
          <w:bCs w:val="false"/>
          <w:rtl w:val="true"/>
        </w:rPr>
        <w:t>يديه ورجليه</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أو كان له ذنب فهذا التّغيّر والتّبدّل كتغيّر الجنين وتبدّله في رحم أمّه، فمهما تغيّر في نشوئه وترقّيه من جميع الجهات حتّى وصل إلى هذه الهيئة التّامة فإنّه في البداية كان نوعاً مخصوصاً، كما أنّنا نلاحظ أيضاً في عالم النّبات أنّ نوعيّة الفصيلة الأصليّة لا تتغيّر ولا تتبدّل، ولكنّ الهيئة واللّون والحجم هي الّتي تتغيّر وتتبدّل أو تترقّى</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 xml:space="preserve">وخلاصة القول أنّ الإنسان ولو أنّه انتقل في رحم الأمّ من شكل إلى آخر ومن هيئة إلى أخرى متغيّراً مترقّياً، فإنّه مع ذلك كان من بداية النّطفة نوع الإنسان، وكذلك الإنسان من بدء تكوينه في رحم العالم كان نوعاً ممتازاً أيضاً، أي كان إنساناً وانتقل من هيئة إلى هيئة أخرى بالتّدريج، إذاً فتغيّر الهيئة وترقّي الأعضاء والنّشوء والنّمو لا يكون مانعاً من أصالة النّوع واستقلاله، هذا على فرض تصديق نشوء الأنواع وترقّيها، والحال أنّ الإنسان كان من البداية على هذه الهيئة والتّركيب الكامل، وكانت له قابليّة واستعداد لاكتساب الكمالات الصّوريّة والمعنويّة، وكان مظهر </w:t>
      </w:r>
      <w:r>
        <w:rPr>
          <w:rFonts w:cs="Simplified Arabic" w:ascii="Simplified Arabic" w:hAnsi="Simplified Arabic"/>
          <w:b w:val="false"/>
          <w:bCs w:val="false"/>
          <w:rtl w:val="true"/>
        </w:rPr>
        <w:t>(</w:t>
      </w:r>
      <w:r>
        <w:rPr>
          <w:rFonts w:ascii="Simplified Arabic" w:hAnsi="Simplified Arabic"/>
          <w:b w:val="false"/>
          <w:b w:val="false"/>
          <w:bCs w:val="false"/>
          <w:rtl w:val="true"/>
        </w:rPr>
        <w:t>لنعملنّ إنساناً على صورتنا ومثالنا</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وغاية ما هنالك أنّه صار أحسن وأظرف وأجمل، وصارت المدنيّة سبباً في إخراجه من حالته الوحشيّة كأثمار الغابات الّتي تتربى بواسطة البستانيّ وتصير ألذّ وأشهى وأكثر لطافة وطراوة، وبستانيّو العالم الإنسانيّ هم أنبياء الله</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مسألة النشوء والارتقاء للكائنات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