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4"/>
        <w:numPr>
          <w:ilvl w:val="3"/>
          <w:numId w:val="1"/>
        </w:numPr>
        <w:ind w:left="0" w:right="0" w:hanging="0"/>
        <w:jc w:val="center"/>
        <w:rPr>
          <w:rFonts w:ascii="Simplified Arabic" w:hAnsi="Simplified Arabic" w:cs="Simplified Arabic"/>
        </w:rPr>
      </w:pPr>
      <w:r>
        <w:rPr>
          <w:rFonts w:cs="Simplified Arabic" w:ascii="Simplified Arabic" w:hAnsi="Simplified Arabic"/>
          <w:rtl w:val="true"/>
        </w:rPr>
        <w:t>(</w:t>
      </w:r>
      <w:r>
        <w:rPr>
          <w:rFonts w:cs="Simplified Arabic" w:ascii="Simplified Arabic" w:hAnsi="Simplified Arabic"/>
        </w:rPr>
        <w:t>63</w:t>
      </w:r>
      <w:r>
        <w:rPr>
          <w:rFonts w:cs="Simplified Arabic" w:ascii="Simplified Arabic" w:hAnsi="Simplified Arabic"/>
          <w:rtl w:val="true"/>
        </w:rPr>
        <w:t>)</w:t>
      </w:r>
    </w:p>
    <w:p>
      <w:pPr>
        <w:pStyle w:val="Heading4"/>
        <w:numPr>
          <w:ilvl w:val="3"/>
          <w:numId w:val="1"/>
        </w:numPr>
        <w:ind w:left="0" w:right="0" w:hanging="0"/>
        <w:jc w:val="center"/>
        <w:rPr>
          <w:rFonts w:ascii="Simplified Arabic" w:hAnsi="Simplified Arabic" w:cs="Simplified Arabic"/>
        </w:rPr>
      </w:pPr>
      <w:r>
        <w:rPr>
          <w:rFonts w:ascii="Simplified Arabic" w:hAnsi="Simplified Arabic"/>
          <w:rtl w:val="true"/>
        </w:rPr>
        <w:t>النّفس النّاطقة بعد صعود الأرواح</w:t>
      </w:r>
    </w:p>
    <w:p>
      <w:pPr>
        <w:pStyle w:val="Heading4"/>
        <w:numPr>
          <w:ilvl w:val="3"/>
          <w:numId w:val="1"/>
        </w:numPr>
        <w:ind w:left="0" w:right="0" w:hanging="0"/>
        <w:jc w:val="left"/>
        <w:rPr>
          <w:rFonts w:ascii="Simplified Arabic" w:hAnsi="Simplified Arabic" w:cs="Simplified Arabic"/>
          <w:b w:val="false"/>
          <w:b w:val="false"/>
          <w:bCs w:val="false"/>
        </w:rPr>
      </w:pPr>
      <w:r>
        <w:rPr>
          <w:rFonts w:cs="Simplified Arabic" w:ascii="Simplified Arabic" w:hAnsi="Simplified Arabic"/>
          <w:b w:val="false"/>
          <w:bCs w:val="false"/>
          <w:rtl w:val="true"/>
        </w:rPr>
      </w:r>
    </w:p>
    <w:p>
      <w:pPr>
        <w:pStyle w:val="Heading4"/>
        <w:numPr>
          <w:ilvl w:val="3"/>
          <w:numId w:val="1"/>
        </w:numPr>
        <w:ind w:left="0" w:right="0" w:hanging="0"/>
        <w:jc w:val="left"/>
        <w:rPr/>
      </w:pPr>
      <w:r>
        <w:rPr>
          <w:rFonts w:cs="Simplified Arabic" w:ascii="Simplified Arabic" w:hAnsi="Simplified Arabic"/>
          <w:b w:val="false"/>
          <w:bCs w:val="false"/>
          <w:rtl w:val="true"/>
        </w:rPr>
        <w:tab/>
      </w:r>
      <w:r>
        <w:rPr>
          <w:rFonts w:ascii="Simplified Arabic" w:hAnsi="Simplified Arabic"/>
          <w:b w:val="false"/>
          <w:b w:val="false"/>
          <w:bCs w:val="false"/>
          <w:rtl w:val="true"/>
        </w:rPr>
        <w:t>السّؤال</w:t>
      </w:r>
      <w:r>
        <w:rPr>
          <w:rFonts w:cs="Simplified Arabic" w:ascii="Simplified Arabic" w:hAnsi="Simplified Arabic"/>
          <w:b w:val="false"/>
          <w:bCs w:val="false"/>
          <w:rtl w:val="true"/>
        </w:rPr>
        <w:t xml:space="preserve">: </w:t>
      </w:r>
      <w:r>
        <w:rPr>
          <w:rFonts w:ascii="Simplified Arabic" w:hAnsi="Simplified Arabic"/>
          <w:b w:val="false"/>
          <w:b w:val="false"/>
          <w:bCs w:val="false"/>
          <w:rtl w:val="true"/>
        </w:rPr>
        <w:t>بماذا تقوم النّفس النّاطقة بعد مفارقة الأجساد وصعود الأرواح؟ ولنفرض أنّ النّفوس المؤي</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دة بفيوضات روح القدس تقوم بالوجود الحقيقي</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 xml:space="preserve"> والحياة الأبدي</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ة</w:t>
      </w:r>
      <w:r>
        <w:rPr>
          <w:rFonts w:cs="Simplified Arabic" w:ascii="Simplified Arabic" w:hAnsi="Simplified Arabic"/>
          <w:b w:val="false"/>
          <w:bCs w:val="false"/>
          <w:rtl w:val="true"/>
        </w:rPr>
        <w:t xml:space="preserve">. </w:t>
      </w:r>
      <w:r>
        <w:rPr>
          <w:rFonts w:ascii="Simplified Arabic" w:hAnsi="Simplified Arabic"/>
          <w:b w:val="false"/>
          <w:b w:val="false"/>
          <w:bCs w:val="false"/>
          <w:rtl w:val="true"/>
        </w:rPr>
        <w:t>فبماذا تقوم النّفس النّاطقة للأرواح المحتجبة؟</w:t>
      </w:r>
    </w:p>
    <w:p>
      <w:pPr>
        <w:pStyle w:val="Heading4"/>
        <w:numPr>
          <w:ilvl w:val="3"/>
          <w:numId w:val="1"/>
        </w:numPr>
        <w:ind w:left="0" w:right="0" w:hanging="0"/>
        <w:jc w:val="left"/>
        <w:rPr>
          <w:rFonts w:ascii="Simplified Arabic" w:hAnsi="Simplified Arabic" w:cs="Simplified Arabic"/>
          <w:b w:val="false"/>
          <w:b w:val="false"/>
          <w:bCs w:val="false"/>
        </w:rPr>
      </w:pPr>
      <w:r>
        <w:rPr>
          <w:rFonts w:cs="Simplified Arabic" w:ascii="Simplified Arabic" w:hAnsi="Simplified Arabic"/>
          <w:b w:val="false"/>
          <w:bCs w:val="false"/>
          <w:rtl w:val="true"/>
        </w:rPr>
      </w:r>
    </w:p>
    <w:p>
      <w:pPr>
        <w:pStyle w:val="Heading4"/>
        <w:numPr>
          <w:ilvl w:val="3"/>
          <w:numId w:val="1"/>
        </w:numPr>
        <w:ind w:left="0" w:right="0" w:hanging="0"/>
        <w:jc w:val="left"/>
        <w:rPr>
          <w:rFonts w:ascii="Simplified Arabic" w:hAnsi="Simplified Arabic" w:cs="Simplified Arabic"/>
          <w:b w:val="false"/>
          <w:b w:val="false"/>
          <w:bCs w:val="false"/>
        </w:rPr>
      </w:pPr>
      <w:r>
        <w:rPr>
          <w:rFonts w:cs="Simplified Arabic" w:ascii="Simplified Arabic" w:hAnsi="Simplified Arabic"/>
          <w:b w:val="false"/>
          <w:bCs w:val="false"/>
          <w:rtl w:val="true"/>
        </w:rPr>
        <w:tab/>
      </w:r>
      <w:r>
        <w:rPr>
          <w:rFonts w:ascii="Simplified Arabic" w:hAnsi="Simplified Arabic"/>
          <w:b w:val="false"/>
          <w:b w:val="false"/>
          <w:bCs w:val="false"/>
          <w:rtl w:val="true"/>
        </w:rPr>
        <w:t>الجواب</w:t>
      </w:r>
      <w:r>
        <w:rPr>
          <w:rFonts w:cs="Simplified Arabic" w:ascii="Simplified Arabic" w:hAnsi="Simplified Arabic"/>
          <w:b w:val="false"/>
          <w:bCs w:val="false"/>
          <w:rtl w:val="true"/>
        </w:rPr>
        <w:t xml:space="preserve">: </w:t>
      </w:r>
      <w:r>
        <w:rPr>
          <w:rFonts w:ascii="Simplified Arabic" w:hAnsi="Simplified Arabic"/>
          <w:b w:val="false"/>
          <w:b w:val="false"/>
          <w:bCs w:val="false"/>
          <w:rtl w:val="true"/>
        </w:rPr>
        <w:t>يظنّ البعض أنّ الجسد جوهر وأنّه قائم بالذّات، والرّوح عرض وأنّها قائمة بجوهر البدن، بينما أنّ النّفس النّاطقة هي الجوهر والجسد قائم بها، فلو تلاشى العرض أي الجسم فجوهر الرّوح باق</w:t>
      </w:r>
      <w:r>
        <w:rPr>
          <w:rFonts w:cs="Simplified Arabic" w:ascii="Simplified Arabic" w:hAnsi="Simplified Arabic"/>
          <w:b w:val="false"/>
          <w:bCs w:val="false"/>
          <w:rtl w:val="true"/>
        </w:rPr>
        <w:t>.</w:t>
      </w:r>
    </w:p>
    <w:p>
      <w:pPr>
        <w:pStyle w:val="Heading4"/>
        <w:numPr>
          <w:ilvl w:val="3"/>
          <w:numId w:val="1"/>
        </w:numPr>
        <w:ind w:left="0" w:right="0" w:hanging="0"/>
        <w:jc w:val="left"/>
        <w:rPr>
          <w:rFonts w:ascii="Simplified Arabic" w:hAnsi="Simplified Arabic" w:cs="Simplified Arabic"/>
          <w:b w:val="false"/>
          <w:b w:val="false"/>
          <w:bCs w:val="false"/>
        </w:rPr>
      </w:pPr>
      <w:r>
        <w:rPr>
          <w:rFonts w:cs="Simplified Arabic" w:ascii="Simplified Arabic" w:hAnsi="Simplified Arabic"/>
          <w:b w:val="false"/>
          <w:bCs w:val="false"/>
          <w:rtl w:val="true"/>
        </w:rPr>
      </w:r>
    </w:p>
    <w:p>
      <w:pPr>
        <w:pStyle w:val="Heading4"/>
        <w:numPr>
          <w:ilvl w:val="3"/>
          <w:numId w:val="1"/>
        </w:numPr>
        <w:ind w:left="0" w:right="0" w:hanging="0"/>
        <w:jc w:val="left"/>
        <w:rPr/>
      </w:pPr>
      <w:r>
        <w:rPr>
          <w:rFonts w:cs="Simplified Arabic" w:ascii="Simplified Arabic" w:hAnsi="Simplified Arabic"/>
          <w:b w:val="false"/>
          <w:bCs w:val="false"/>
          <w:rtl w:val="true"/>
        </w:rPr>
        <w:tab/>
      </w:r>
      <w:r>
        <w:rPr>
          <w:rFonts w:ascii="Simplified Arabic" w:hAnsi="Simplified Arabic"/>
          <w:b w:val="false"/>
          <w:b w:val="false"/>
          <w:bCs w:val="false"/>
          <w:rtl w:val="true"/>
        </w:rPr>
        <w:t>ثانياً إنّ النّفس النّاطقة أي الرّوح الإنسانيّة ليس لها قيام حلولي</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 xml:space="preserve"> بهذا الجسد، يعني ليست بداخل هذا الجسد لأنّ الحلول والدّخول من خصائص الأجسام والنّفس النّاطقة مجر</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دة عن ذلك، وما كانت في الأصل داخلة في هذا الجسد حتّى تحتاج بعد خروجها إلى مقرّ، بل كان للرّوح تعل</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ق بالجسد كتعل</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ق هذا السّراج بالمرآة، فحينما يكمل صفاء المرآة يسطع نور السّراج فيها ويظهر، وإذا تغب</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رت المرآة أو انكسرت يختفي النّور، فالنّفس النّاطقة في الأصل أي الرّوح الإنسانيّ لم تكن حالَّة في هذا الجسد ولم تكن قائمة به حتّى تحتاج بعد تحليل هذا التّركيب الجسديّ إلى جوهر تقوم به، بل إنّ النّفس النّاطقة هي الجوهر والجسد قائم به، فالنّفس النّاطقة لها شخصيّة من الأصل ولم تحصل بواسطة هذا الجسد، وغاية ما هنالك أنّ تعيّنات النّفس النّاطقة وتشخ</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صاتها في هذا العالم تتقو</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ى وتترقّى وتحصل على مراتب الكمال، أو أنّها تظل</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 xml:space="preserve"> في أسفل دركات الجهل محجوبة محرومة عن مشاهدة آيات الله</w:t>
      </w:r>
      <w:r>
        <w:rPr>
          <w:rFonts w:cs="Simplified Arabic" w:ascii="Simplified Arabic" w:hAnsi="Simplified Arabic"/>
          <w:b w:val="false"/>
          <w:bCs w:val="false"/>
          <w:rtl w:val="true"/>
        </w:rPr>
        <w:t>.</w:t>
      </w:r>
    </w:p>
    <w:p>
      <w:pPr>
        <w:pStyle w:val="Heading4"/>
        <w:numPr>
          <w:ilvl w:val="3"/>
          <w:numId w:val="1"/>
        </w:numPr>
        <w:ind w:left="0" w:right="0" w:hanging="0"/>
        <w:jc w:val="left"/>
        <w:rPr>
          <w:rFonts w:ascii="Simplified Arabic" w:hAnsi="Simplified Arabic" w:cs="Simplified Arabic"/>
          <w:b w:val="false"/>
          <w:b w:val="false"/>
          <w:bCs w:val="false"/>
        </w:rPr>
      </w:pPr>
      <w:r>
        <w:rPr>
          <w:rFonts w:cs="Simplified Arabic" w:ascii="Simplified Arabic" w:hAnsi="Simplified Arabic"/>
          <w:b w:val="false"/>
          <w:bCs w:val="false"/>
          <w:rtl w:val="true"/>
        </w:rPr>
      </w:r>
    </w:p>
    <w:p>
      <w:pPr>
        <w:pStyle w:val="Heading4"/>
        <w:numPr>
          <w:ilvl w:val="3"/>
          <w:numId w:val="1"/>
        </w:numPr>
        <w:ind w:left="0" w:right="0" w:hanging="0"/>
        <w:jc w:val="center"/>
        <w:rPr>
          <w:rFonts w:ascii="Simplified Arabic" w:hAnsi="Simplified Arabic" w:cs="Simplified Arabic"/>
          <w:b w:val="false"/>
          <w:b w:val="false"/>
          <w:bCs w:val="false"/>
        </w:rPr>
      </w:pPr>
      <w:r>
        <w:rPr>
          <w:rFonts w:cs="Simplified Arabic" w:ascii="Simplified Arabic" w:hAnsi="Simplified Arabic"/>
          <w:b w:val="false"/>
          <w:bCs w:val="false"/>
          <w:rtl w:val="true"/>
        </w:rPr>
        <w:t>***</w:t>
      </w:r>
    </w:p>
    <w:p>
      <w:pPr>
        <w:pStyle w:val="Heading4"/>
        <w:numPr>
          <w:ilvl w:val="3"/>
          <w:numId w:val="1"/>
        </w:numPr>
        <w:ind w:left="0" w:right="0" w:hanging="0"/>
        <w:jc w:val="left"/>
        <w:rPr>
          <w:rFonts w:ascii="Simplified Arabic" w:hAnsi="Simplified Arabic" w:cs="Simplified Arabic"/>
          <w:b w:val="false"/>
          <w:b w:val="false"/>
          <w:bCs w:val="false"/>
        </w:rPr>
      </w:pPr>
      <w:r>
        <w:rPr>
          <w:rFonts w:cs="Simplified Arabic" w:ascii="Simplified Arabic" w:hAnsi="Simplified Arabic"/>
          <w:b w:val="false"/>
          <w:bCs w:val="false"/>
          <w:rtl w:val="true"/>
        </w:rPr>
      </w:r>
    </w:p>
    <w:p>
      <w:pPr>
        <w:pStyle w:val="Heading4"/>
        <w:numPr>
          <w:ilvl w:val="3"/>
          <w:numId w:val="1"/>
        </w:numPr>
        <w:ind w:left="0" w:right="0" w:firstLine="720"/>
        <w:jc w:val="left"/>
        <w:rPr>
          <w:rFonts w:ascii="Simplified Arabic" w:hAnsi="Simplified Arabic" w:cs="Simplified Arabic"/>
          <w:b w:val="false"/>
          <w:b w:val="false"/>
          <w:bCs w:val="false"/>
        </w:rPr>
      </w:pPr>
      <w:r>
        <w:rPr>
          <w:rFonts w:ascii="Simplified Arabic" w:hAnsi="Simplified Arabic"/>
          <w:b w:val="false"/>
          <w:b w:val="false"/>
          <w:bCs w:val="false"/>
          <w:rtl w:val="true"/>
        </w:rPr>
        <w:t>السّؤال</w:t>
      </w:r>
      <w:r>
        <w:rPr>
          <w:rFonts w:cs="Simplified Arabic" w:ascii="Simplified Arabic" w:hAnsi="Simplified Arabic"/>
          <w:b w:val="false"/>
          <w:bCs w:val="false"/>
          <w:rtl w:val="true"/>
        </w:rPr>
        <w:t xml:space="preserve">: </w:t>
      </w:r>
      <w:r>
        <w:rPr>
          <w:rFonts w:ascii="Simplified Arabic" w:hAnsi="Simplified Arabic"/>
          <w:b w:val="false"/>
          <w:b w:val="false"/>
          <w:bCs w:val="false"/>
          <w:rtl w:val="true"/>
        </w:rPr>
        <w:t>ما هي الواسطة الّتي تترقّى بها الرّوح الإنسانيّ أي النّفس النّاطقة بعد صعودها من هذا العالم الفاني؟</w:t>
      </w:r>
    </w:p>
    <w:p>
      <w:pPr>
        <w:pStyle w:val="Heading4"/>
        <w:numPr>
          <w:ilvl w:val="3"/>
          <w:numId w:val="1"/>
        </w:numPr>
        <w:ind w:left="0" w:right="0" w:firstLine="720"/>
        <w:jc w:val="left"/>
        <w:rPr>
          <w:rFonts w:ascii="Simplified Arabic" w:hAnsi="Simplified Arabic" w:cs="Simplified Arabic"/>
          <w:b w:val="false"/>
          <w:b w:val="false"/>
          <w:bCs w:val="false"/>
        </w:rPr>
      </w:pPr>
      <w:r>
        <w:rPr>
          <w:rFonts w:cs="Simplified Arabic" w:ascii="Simplified Arabic" w:hAnsi="Simplified Arabic"/>
          <w:b w:val="false"/>
          <w:bCs w:val="false"/>
          <w:rtl w:val="true"/>
        </w:rPr>
      </w:r>
    </w:p>
    <w:p>
      <w:pPr>
        <w:pStyle w:val="Heading4"/>
        <w:numPr>
          <w:ilvl w:val="3"/>
          <w:numId w:val="1"/>
        </w:numPr>
        <w:ind w:left="0" w:right="0" w:hanging="0"/>
        <w:jc w:val="left"/>
        <w:rPr/>
      </w:pPr>
      <w:r>
        <w:rPr>
          <w:rFonts w:cs="Simplified Arabic" w:ascii="Simplified Arabic" w:hAnsi="Simplified Arabic"/>
          <w:b w:val="false"/>
          <w:bCs w:val="false"/>
          <w:rtl w:val="true"/>
        </w:rPr>
        <w:tab/>
      </w:r>
      <w:r>
        <w:rPr>
          <w:rFonts w:ascii="Simplified Arabic" w:hAnsi="Simplified Arabic"/>
          <w:b w:val="false"/>
          <w:b w:val="false"/>
          <w:bCs w:val="false"/>
          <w:rtl w:val="true"/>
        </w:rPr>
        <w:t>الجواب</w:t>
      </w:r>
      <w:r>
        <w:rPr>
          <w:rFonts w:cs="Simplified Arabic" w:ascii="Simplified Arabic" w:hAnsi="Simplified Arabic"/>
          <w:b w:val="false"/>
          <w:bCs w:val="false"/>
          <w:rtl w:val="true"/>
        </w:rPr>
        <w:t xml:space="preserve">: </w:t>
      </w:r>
      <w:r>
        <w:rPr>
          <w:rFonts w:ascii="Simplified Arabic" w:hAnsi="Simplified Arabic"/>
          <w:b w:val="false"/>
          <w:b w:val="false"/>
          <w:bCs w:val="false"/>
          <w:rtl w:val="true"/>
        </w:rPr>
        <w:t>يحصل التّرق</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ي للرّوح الإنسانيّ بعد قطع علاقته من الجسد التّرابي</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 xml:space="preserve"> في العالم الإلهيّ إمّا بالفضل الصّرف والموهبة الرّبانيّة أو بطلب المغفرة والأدعية الخيرية من سائر النّفوس الإنسانيّة أو بسبب الخيرات والمبر</w:t>
      </w:r>
      <w:r>
        <w:rPr>
          <w:rFonts w:ascii="Simplified Arabic" w:hAnsi="Simplified Arabic"/>
          <w:b w:val="false"/>
          <w:b w:val="false"/>
          <w:bCs w:val="false"/>
          <w:rtl w:val="true"/>
          <w:lang w:bidi="ar-JO"/>
        </w:rPr>
        <w:t>ّ</w:t>
      </w:r>
      <w:r>
        <w:rPr>
          <w:rFonts w:ascii="Simplified Arabic" w:hAnsi="Simplified Arabic"/>
          <w:b w:val="false"/>
          <w:b w:val="false"/>
          <w:bCs w:val="false"/>
          <w:rtl w:val="true"/>
        </w:rPr>
        <w:t>ات العظيمة الّتي تجري باسمه</w:t>
      </w:r>
      <w:r>
        <w:rPr>
          <w:rFonts w:cs="Simplified Arabic" w:ascii="Simplified Arabic" w:hAnsi="Simplified Arabic"/>
          <w:b w:val="false"/>
          <w:bCs w:val="false"/>
          <w:rtl w:val="true"/>
        </w:rPr>
        <w:t>.</w:t>
      </w:r>
    </w:p>
    <w:p>
      <w:pPr>
        <w:pStyle w:val="PlainText"/>
        <w:bidi w:val="1"/>
        <w:ind w:left="0" w:right="0" w:hanging="0"/>
        <w:jc w:val="both"/>
        <w:rPr>
          <w:rFonts w:ascii="Simplified Arabic" w:hAnsi="Simplified Arabic" w:eastAsia="MS Mincho;ＭＳ 明朝" w:cs="Simplified Arabic"/>
          <w:color w:val="FF0000"/>
          <w:sz w:val="36"/>
          <w:szCs w:val="36"/>
        </w:rPr>
      </w:pPr>
      <w:r>
        <w:rPr>
          <w:rFonts w:eastAsia="Simplified Arabic" w:cs="Simplified Arabic" w:ascii="Simplified Arabic" w:hAnsi="Simplified Arabic"/>
          <w:sz w:val="36"/>
          <w:szCs w:val="36"/>
          <w:rtl w:val="true"/>
        </w:rPr>
        <w:t xml:space="preserve">    </w:t>
      </w:r>
    </w:p>
    <w:p>
      <w:pPr>
        <w:pStyle w:val="PlainText"/>
        <w:bidi w:val="1"/>
        <w:ind w:left="0" w:right="0" w:hanging="0"/>
        <w:jc w:val="both"/>
        <w:rPr>
          <w:rFonts w:ascii="Simplified Arabic" w:hAnsi="Simplified Arabic" w:eastAsia="MS Mincho;ＭＳ 明朝" w:cs="Simplified Arabic"/>
          <w:color w:val="FF0000"/>
          <w:sz w:val="36"/>
          <w:szCs w:val="36"/>
        </w:rPr>
      </w:pPr>
      <w:r>
        <w:rPr>
          <w:rFonts w:eastAsia="MS Mincho;ＭＳ 明朝" w:cs="Simplified Arabic" w:ascii="Simplified Arabic" w:hAnsi="Simplified Arabic"/>
          <w:color w:val="FF0000"/>
          <w:sz w:val="36"/>
          <w:szCs w:val="36"/>
          <w:rtl w:val="true"/>
        </w:rPr>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3300"/>
        <w:left w:val="threeDEngrave" w:sz="48" w:space="24" w:color="003300"/>
        <w:bottom w:val="threeDEmboss" w:sz="48" w:space="24" w:color="003300"/>
        <w:right w:val="threeDEmboss" w:sz="48" w:space="24" w:color="0033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 w:name="Simplified Arab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color w:val="0000FF"/>
      </w:rPr>
    </w:pPr>
    <w:r>
      <w:rPr>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1"/>
      <w:ind w:left="0" w:right="360" w:hanging="0"/>
      <w:jc w:val="left"/>
      <w:rPr>
        <w:rFonts w:ascii="Simplified Arabic" w:hAnsi="Simplified Arabic" w:cs="Simplified Arabic"/>
        <w:color w:val="0000CC"/>
      </w:rPr>
    </w:pPr>
    <w:r>
      <w:rPr>
        <w:rFonts w:ascii="Simplified Arabic" w:hAnsi="Simplified Arabic" w:cs="Simplified Arabic"/>
        <w:color w:val="0000CC"/>
        <w:rtl w:val="true"/>
      </w:rPr>
      <w:t xml:space="preserve">النفس الناطقة بعد صعود الأرواح </w:t>
    </w:r>
    <w:r>
      <w:rPr>
        <w:rFonts w:ascii="Simplified Arabic" w:hAnsi="Simplified Arabic" w:cs="Simplified Arabic"/>
        <w:color w:val="0000CC"/>
        <w:rtl w:val="true"/>
      </w:rPr>
      <w:t>–</w:t>
    </w:r>
    <w:r>
      <w:rPr>
        <w:rFonts w:ascii="Simplified Arabic" w:hAnsi="Simplified Arabic" w:cs="Simplified Arabic"/>
        <w:color w:val="0000CC"/>
        <w:rtl w:val="true"/>
      </w:rPr>
      <w:t xml:space="preserve"> من آثار حضرة عبدالبهاء </w:t>
    </w:r>
    <w:r>
      <w:rPr>
        <w:rFonts w:cs="Simplified Arabic" w:ascii="Simplified Arabic" w:hAnsi="Simplified Arabic"/>
        <w:color w:val="0000CC"/>
        <w:rtl w:val="true"/>
      </w:rPr>
      <w:t xml:space="preserve">- </w:t>
    </w:r>
    <w:r>
      <w:rPr>
        <w:rFonts w:ascii="Simplified Arabic" w:hAnsi="Simplified Arabic" w:cs="Simplified Arabic"/>
        <w:color w:val="0000CC"/>
        <w:rtl w:val="true"/>
      </w:rPr>
      <w:t>من مفاوضات عبدا</w:t>
    </w:r>
    <w:r>
      <w:rPr>
        <w:rFonts w:ascii="Simplified Arabic" w:hAnsi="Simplified Arabic" w:cs="Simplified Arabic"/>
        <w:color w:val="0000CC"/>
        <w:rtl w:val="true"/>
      </w:rPr>
      <w:t xml:space="preserve">لبهاء </w:t>
    </w:r>
    <w:r>
      <mc:AlternateContent>
        <mc:Choice Requires="wps">
          <w:drawing>
            <wp:anchor behindDoc="0" distT="0" distB="0" distL="0" distR="0" simplePos="0" locked="0" layoutInCell="1" allowOverlap="1" relativeHeight="3">
              <wp:simplePos x="0" y="0"/>
              <wp:positionH relativeFrom="margin">
                <wp:align>right</wp:align>
              </wp:positionH>
              <wp:positionV relativeFrom="paragraph">
                <wp:posOffset>635</wp:posOffset>
              </wp:positionV>
              <wp:extent cx="1460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Header"/>
                            <w:rPr>
                              <w:rStyle w:val="PageNumber"/>
                              <w:sz w:val="36"/>
                              <w:szCs w:val="36"/>
                            </w:rPr>
                          </w:pPr>
                          <w:r>
                            <w:rPr/>
                          </w:r>
                        </w:p>
                      </w:txbxContent>
                    </wps:txbx>
                    <wps:bodyPr anchor="t" lIns="0" tIns="0" rIns="0" bIns="0">
                      <a:no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466.85pt;mso-position-horizontal:right;mso-position-horizontal-relative:margin">
              <v:fill opacity="0f"/>
              <v:textbox>
                <w:txbxContent>
                  <w:p>
                    <w:pPr>
                      <w:pStyle w:val="Header"/>
                      <w:rPr>
                        <w:rStyle w:val="PageNumber"/>
                        <w:sz w:val="36"/>
                        <w:szCs w:val="36"/>
                      </w:rPr>
                    </w:pPr>
                    <w:r>
                      <w:rPr/>
                    </w:r>
                  </w:p>
                </w:txbxContent>
              </v:textbox>
              <w10:wrap type="square" side="largest"/>
            </v:rect>
          </w:pict>
        </mc:Fallback>
      </mc:AlternateContent>
    </w:r>
  </w:p>
  <w:p>
    <w:pPr>
      <w:pStyle w:val="Header"/>
      <w:bidi w:val="1"/>
      <w:ind w:left="0" w:right="360" w:hanging="0"/>
      <w:jc w:val="left"/>
      <w:rPr>
        <w:rFonts w:ascii="Arial" w:hAnsi="Arial" w:cs="Arial"/>
        <w:b/>
        <w:b/>
        <w:bCs/>
        <w:color w:val="000000"/>
      </w:rPr>
    </w:pPr>
    <w:r>
      <w:rPr>
        <w:rFonts w:cs="Arial" w:ascii="Arial" w:hAnsi="Arial"/>
        <w:b/>
        <w:bCs/>
        <w:color w:val="000000"/>
        <w:rtl w:val="tru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4">
    <w:name w:val="Heading 4"/>
    <w:basedOn w:val="Normal"/>
    <w:next w:val="Normal"/>
    <w:qFormat/>
    <w:pPr>
      <w:keepNext w:val="true"/>
      <w:numPr>
        <w:ilvl w:val="3"/>
        <w:numId w:val="1"/>
      </w:numPr>
      <w:bidi w:val="1"/>
      <w:ind w:left="0" w:right="0" w:hanging="0"/>
      <w:jc w:val="center"/>
      <w:outlineLvl w:val="3"/>
    </w:pPr>
    <w:rPr>
      <w:rFonts w:ascii="Arial" w:hAnsi="Arial" w:cs="Simplified Arabic"/>
      <w:b/>
      <w:bCs/>
      <w:sz w:val="32"/>
      <w:szCs w:val="32"/>
    </w:rPr>
  </w:style>
  <w:style w:type="character" w:styleId="WW8Num1z0">
    <w:name w:val="WW8Num1z0"/>
    <w:qFormat/>
    <w:rPr>
      <w:color w:val="00000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PageNumber">
    <w:name w:val="Page Number"/>
    <w:basedOn w:val="DefaultParagraphFont"/>
    <w:rPr/>
  </w:style>
  <w:style w:type="character" w:styleId="FooterChar">
    <w:name w:val="Footer Char"/>
    <w:qFormat/>
    <w:rPr>
      <w:sz w:val="24"/>
      <w:szCs w:val="24"/>
    </w:rPr>
  </w:style>
  <w:style w:type="character" w:styleId="PlainTextChar">
    <w:name w:val="Plain Text Char"/>
    <w:qFormat/>
    <w:rPr>
      <w:rFonts w:ascii="Courier New" w:hAnsi="Courier New" w:cs="Courier New"/>
    </w:rPr>
  </w:style>
  <w:style w:type="character" w:styleId="BalloonTextChar">
    <w:name w:val="Balloon Text Char"/>
    <w:qFormat/>
    <w:rPr>
      <w:rFonts w:ascii="Tahoma" w:hAnsi="Tahoma" w:cs="Tahoma"/>
      <w:sz w:val="16"/>
      <w:szCs w:val="16"/>
    </w:rPr>
  </w:style>
  <w:style w:type="character" w:styleId="Heading4Char">
    <w:name w:val="Heading 4 Char"/>
    <w:qFormat/>
    <w:rPr>
      <w:rFonts w:ascii="Arial" w:hAnsi="Arial" w:cs="Simplified Arabic"/>
      <w:b/>
      <w:bCs/>
      <w:sz w:val="32"/>
      <w:szCs w:val="3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PlainText">
    <w:name w:val="Plain Text"/>
    <w:basedOn w:val="Normal"/>
    <w:qFormat/>
    <w:pPr/>
    <w:rPr>
      <w:rFonts w:ascii="Courier New" w:hAnsi="Courier New" w:cs="Courier New"/>
      <w:sz w:val="20"/>
      <w:szCs w:val="20"/>
    </w:rPr>
  </w:style>
  <w:style w:type="paragraph" w:styleId="BalloonText">
    <w:name w:val="Balloon Text"/>
    <w:basedOn w:val="Normal"/>
    <w:qFormat/>
    <w:pPr/>
    <w:rPr>
      <w:rFonts w:ascii="Tahoma" w:hAnsi="Tahoma" w:cs="Tahoma"/>
      <w:sz w:val="16"/>
      <w:szCs w:val="16"/>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2016-05-31T17:33:00Z</dcterms:created>
  <dc:creator/>
  <dc:description/>
  <dc:language>en-US</dc:language>
  <cp:lastModifiedBy/>
  <dcterms:modified xsi:type="dcterms:W3CDTF">2016-05-31T17:33:00Z</dcterms:modified>
  <cp:revision>1</cp:revision>
  <dc:subject/>
  <dc:title/>
</cp:coreProperties>
</file>