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color w:val="FF0000"/>
          <w:sz w:val="52"/>
          <w:szCs w:val="52"/>
          <w:lang w:bidi="fa-IR"/>
        </w:rPr>
      </w:pPr>
      <w:r>
        <w:rPr>
          <w:rFonts w:ascii="Simplified Arabic" w:hAnsi="Simplified Arabic" w:eastAsia="MS Mincho;ＭＳ 明朝" w:cs="Simplified Arabic"/>
          <w:b/>
          <w:b/>
          <w:bCs/>
          <w:color w:val="FF0000"/>
          <w:sz w:val="52"/>
          <w:sz w:val="52"/>
          <w:szCs w:val="52"/>
          <w:rtl w:val="true"/>
        </w:rPr>
        <w:t>جناب مشهدی فتّاح</w:t>
      </w:r>
    </w:p>
    <w:p>
      <w:pPr>
        <w:pStyle w:val="PlainText"/>
        <w:bidi w:val="1"/>
        <w:ind w:left="0" w:right="0" w:hanging="0"/>
        <w:jc w:val="both"/>
        <w:rPr>
          <w:rFonts w:ascii="Simplified Arabic" w:hAnsi="Simplified Arabic" w:eastAsia="MS Mincho;ＭＳ 明朝" w:cs="Simplified Arabic"/>
          <w:b/>
          <w:b/>
          <w:bCs/>
          <w:color w:val="FF0000"/>
          <w:sz w:val="36"/>
          <w:szCs w:val="36"/>
          <w:lang w:bidi="fa-IR"/>
        </w:rPr>
      </w:pPr>
      <w:r>
        <w:rPr>
          <w:rFonts w:eastAsia="MS Mincho;ＭＳ 明朝" w:cs="Simplified Arabic" w:ascii="Simplified Arabic" w:hAnsi="Simplified Arabic"/>
          <w:b/>
          <w:bCs/>
          <w:color w:val="FF0000"/>
          <w:sz w:val="36"/>
          <w:szCs w:val="36"/>
          <w:rtl w:val="true"/>
          <w:lang w:bidi="fa-IR"/>
        </w:rPr>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جناب مشهدی فتّاح عليه البهاء الابهی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روح مجسّم زهد و تقوای مصوّر برادر پاک گهر جناب حاجی علی عسکر است بدلالت برادر بشريعت اللّه وارد و بمثابه دو پيکر يعنی جوزاء در نقطهء واحده جمع شدند و بنور هدايت کبری منوّر گشتند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اين شخص محترم با حاجی علی عسکر در جميع مراتب همعنان بود و شريک ايمان و سهيم وجدان حتّی در هجرت از آذربايجان بارض سرّ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دو برادر در جميع مراتب و شئون وجود بمثابه شخص واحد بودند در مشرب در مسلک در مذهب در اخلاق در اطوار در ايمان در ايقان در عرفان در اطمينان حتّی در سجن اعظم هميشه با هم بودند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آنچه از ما يملک دنيا داشت مال التّجاره بود در ادرنه امانت گذاشت بعد بی‌انصافان آن اموال را از ميان بردند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در سبيل الهی پا کبازی نمود و در سجن اعظم بنهايت قناعت بسر برد وفانی محض بود ابداً از اين شخص کلمه ئی که دلالت بر وجود کند استماع نشد هميشه در زاويه سجن منزوی و در گوشه صمت و سکوت معتکف بذکر اللّه مشغول در جميع احوال در حالت تنبّه و تضرّع بود تا آنکه مصيبت کبری رخ نمود و از شدّت حزن و احتراق تحمّل فراق ننمود بعد از صعود عروج بملکوت ابهی کرد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طوبی له ثمّ طوبی بشری له ثمّ بشری و عليه البهآء الابهی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Simplified Arabic" w:cs="Simplified Arabic" w:ascii="Simplified Arabic" w:hAnsi="Simplified Arabic"/>
          <w:sz w:val="36"/>
          <w:szCs w:val="36"/>
          <w:rtl w:val="true"/>
        </w:rPr>
        <w:t xml:space="preserve"> </w:t>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