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Naskh MT for Bosch School" w:hAnsi="Naskh MT for Bosch School" w:cs="Naskh MT for Bosch School"/>
        </w:rPr>
      </w:pPr>
      <w:r>
        <w:rPr>
          <w:rFonts w:cs="Naskh MT for Bosch School" w:ascii="Naskh MT for Bosch School" w:hAnsi="Naskh MT for Bosch School"/>
        </w:rPr>
      </w:r>
    </w:p>
    <w:p>
      <w:pPr>
        <w:pStyle w:val="Heading2"/>
        <w:numPr>
          <w:ilvl w:val="1"/>
          <w:numId w:val="1"/>
        </w:numPr>
        <w:jc w:val="center"/>
        <w:rPr>
          <w:rFonts w:ascii="Times New Roman" w:hAnsi="Times New Roman" w:cs="Times New Roman"/>
          <w:sz w:val="48"/>
          <w:szCs w:val="48"/>
        </w:rPr>
      </w:pPr>
      <w:r>
        <w:rPr>
          <w:rFonts w:cs="Times New Roman" w:ascii="Times New Roman" w:hAnsi="Times New Roman"/>
          <w:sz w:val="48"/>
          <w:szCs w:val="48"/>
        </w:rPr>
        <w:t>Ustád Báqir and Ustád Aḥmad</w:t>
      </w:r>
    </w:p>
    <w:p>
      <w:pPr>
        <w:pStyle w:val="Normal"/>
        <w:rPr>
          <w:rFonts w:ascii="Times New Roman" w:hAnsi="Times New Roman" w:cs="Times New Roman"/>
          <w:sz w:val="48"/>
          <w:szCs w:val="48"/>
        </w:rPr>
      </w:pPr>
      <w:r>
        <w:rPr>
          <w:rFonts w:cs="Times New Roman"/>
          <w:sz w:val="48"/>
          <w:szCs w:val="48"/>
        </w:rPr>
      </w:r>
    </w:p>
    <w:p>
      <w:pPr>
        <w:pStyle w:val="Normal"/>
        <w:rPr/>
      </w:pPr>
      <w:r>
        <w:rPr/>
      </w:r>
    </w:p>
    <w:p>
      <w:pPr>
        <w:pStyle w:val="NormalWeb"/>
        <w:jc w:val="both"/>
        <w:rPr/>
      </w:pPr>
      <w:bookmarkStart w:id="0" w:name="Page_72"/>
      <w:bookmarkEnd w:id="0"/>
      <w:r>
        <w:rPr>
          <w:rFonts w:cs="Times New Roman" w:ascii="Times New Roman" w:hAnsi="Times New Roman"/>
          <w:sz w:val="32"/>
          <w:szCs w:val="32"/>
        </w:rPr>
        <w:t>And again among those who left their homeland were two carpenters, Ustád Báqir and Ustád Aḥmad. These two were brothers, of pure lineage, and natives of Ká</w:t>
      </w:r>
      <w:r>
        <w:rPr>
          <w:rFonts w:cs="Times New Roman" w:ascii="Times New Roman" w:hAnsi="Times New Roman"/>
          <w:sz w:val="32"/>
          <w:szCs w:val="32"/>
          <w:u w:val="single"/>
        </w:rPr>
        <w:t>sh</w:t>
      </w:r>
      <w:r>
        <w:rPr>
          <w:rFonts w:cs="Times New Roman" w:ascii="Times New Roman" w:hAnsi="Times New Roman"/>
          <w:sz w:val="32"/>
          <w:szCs w:val="32"/>
        </w:rPr>
        <w:t xml:space="preserve">án. From the time when both became believers each held the other in his embrace. They harkened to the voice of God, and to His cry of “Am I not your Lord?” they replied, “Yea, verily!” </w:t>
      </w:r>
    </w:p>
    <w:p>
      <w:pPr>
        <w:pStyle w:val="NormalWeb"/>
        <w:jc w:val="both"/>
        <w:rPr/>
      </w:pPr>
      <w:r>
        <w:rPr>
          <w:rFonts w:cs="Times New Roman" w:ascii="Times New Roman" w:hAnsi="Times New Roman"/>
          <w:sz w:val="32"/>
          <w:szCs w:val="32"/>
        </w:rPr>
        <w:t xml:space="preserve">For a time they stayed on in their own country, occupied with the remembrance of God, characterized by faith and knowledge, respected by friend and stranger alike, known to all for righteousness and trustworthiness, for austerity of life and the fear of God. When the oppressor stretched forth his hands against them, and tormented them beyond endurance, they emigrated to ‘Iráq, to the sheltering care of Bahá’u’lláh. They were two most blessed souls. For some time they remained in ‘Iráq, praying in all lowliness, and supplicating God. </w:t>
      </w:r>
    </w:p>
    <w:p>
      <w:pPr>
        <w:pStyle w:val="NormalWeb"/>
        <w:jc w:val="both"/>
        <w:rPr/>
      </w:pPr>
      <w:r>
        <w:rPr>
          <w:rFonts w:cs="Times New Roman" w:ascii="Times New Roman" w:hAnsi="Times New Roman"/>
          <w:sz w:val="32"/>
          <w:szCs w:val="32"/>
        </w:rPr>
        <w:t xml:space="preserve">Then Ustád Aḥmad departed for Adrianople, while Ustád Báqir remained in ‘Iráq and was taken as a prisoner to Mosul. Ustád Aḥmad went on with the party of Bahá’u’lláh to the Most Great Prison, and Ustád Báqir emigrated from Mosul to Akká. Both of the brothers were under the protection of God and free from every earthly bond. In the prison, they worked at their craft, keeping to </w:t>
      </w:r>
      <w:bookmarkStart w:id="1" w:name="Page_73"/>
      <w:bookmarkEnd w:id="1"/>
      <w:r>
        <w:rPr>
          <w:rFonts w:cs="Times New Roman" w:ascii="Times New Roman" w:hAnsi="Times New Roman"/>
          <w:sz w:val="32"/>
          <w:szCs w:val="32"/>
        </w:rPr>
        <w:t xml:space="preserve">themselves, away from friend and stranger alike. Tranquil, dignified, confident, strong in faith, sheltered by the All-Merciful, they happily spent their days. Ustád Báqir was the first to die, and some time afterward his brother followed him. </w:t>
      </w:r>
    </w:p>
    <w:p>
      <w:pPr>
        <w:pStyle w:val="Normal"/>
        <w:rPr>
          <w:rFonts w:ascii="Naskh MT for Bosch School" w:hAnsi="Naskh MT for Bosch School" w:cs="Naskh MT for Bosch School"/>
        </w:rPr>
      </w:pPr>
      <w:r>
        <w:rPr>
          <w:rFonts w:cs="Times New Roman"/>
          <w:sz w:val="32"/>
          <w:szCs w:val="32"/>
        </w:rPr>
        <w:t>These two were firm believers, loyal, patient, at all times thankful, at all times supplicating God in lowliness, with their faces turned in His direction. During that long stay in the prison they were never neglectful of duty, never at fault. They were constantly joyful, for they had drunk deep of the holy cup; and when they soared upward, out of the world, the friends mourned over them and asked that by the grace of Bahá’u’lláh, they should be favored and forgiven. These two were embosomed in bounty, and Divinely sustained, and the Blessed Beauty was well pleased with them both; with this provision for their journey, they set out for the world to come. Upon them both be the glory of God the All-Glorious; to each be a seat of truth</w:t>
      </w:r>
      <w:r>
        <w:rPr>
          <w:rStyle w:val="EndnoteCharacters"/>
          <w:rStyle w:val="EndnoteAnchor"/>
          <w:rFonts w:cs="Times New Roman"/>
          <w:sz w:val="32"/>
          <w:szCs w:val="32"/>
        </w:rPr>
        <w:endnoteReference w:id="2"/>
      </w:r>
      <w:r>
        <w:rPr>
          <w:rFonts w:cs="Times New Roman"/>
          <w:sz w:val="32"/>
          <w:szCs w:val="32"/>
        </w:rPr>
        <w:t xml:space="preserve"> in the Kingdom of Splendors.</w:t>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tabs>
          <w:tab w:val="left" w:pos="7665" w:leader="none"/>
        </w:tabs>
        <w:rPr>
          <w:rFonts w:ascii="Naskh MT for Bosch School" w:hAnsi="Naskh MT for Bosch School" w:cs="Naskh MT for Bosch School"/>
        </w:rPr>
      </w:pPr>
      <w:r>
        <w:rPr>
          <w:rFonts w:cs="Naskh MT for Bosch School" w:ascii="Naskh MT for Bosch School" w:hAnsi="Naskh MT for Bosch School"/>
        </w:rPr>
        <w:tab/>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rPr/>
      </w:pPr>
      <w:r>
        <w:rPr>
          <w:rStyle w:val="EndnoteCharacters"/>
        </w:rPr>
        <w:endnoteRef/>
      </w:r>
      <w:r>
        <w:rPr/>
        <w:tab/>
        <w:t>Qur’án 54:55.</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color w:val="0000CC"/>
      </w:rPr>
      <w:t xml:space="preserve">Memorials of the Faithful, Abdul-Baha </w:t>
    </w:r>
  </w:p>
  <w:p>
    <w:pPr>
      <w:pStyle w:val="Header"/>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character" w:styleId="EndnoteTextChar">
    <w:name w:val="Endnote Text Char"/>
    <w:qFormat/>
    <w:rPr>
      <w:rFonts w:ascii="Times Ext Roman;Times New Roman" w:hAnsi="Times Ext Roman;Times New Roman" w:eastAsia="Times New Roman" w:cs="Times New Roman"/>
      <w:w w:val="105"/>
      <w:kern w:val="2"/>
      <w:lang w:val="en-GB"/>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 w:type="paragraph" w:styleId="Endnote">
    <w:name w:val="Endnote Text"/>
    <w:basedOn w:val="Normal"/>
    <w:pPr/>
    <w:rPr>
      <w:rFonts w:ascii="Times Ext Roman;Times New Roman" w:hAnsi="Times Ext Roman;Times New Roman" w:eastAsia="Times New Roman" w:cs="Times New Roman"/>
      <w:w w:val="105"/>
      <w:kern w:val="2"/>
      <w:sz w:val="20"/>
      <w:szCs w:val="20"/>
      <w:lang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