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Zaynu’l-Ábidín Yazdí</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bookmarkStart w:id="0" w:name="Page_83"/>
      <w:bookmarkEnd w:id="0"/>
      <w:r>
        <w:rPr>
          <w:rFonts w:cs="Times New Roman" w:ascii="Times New Roman" w:hAnsi="Times New Roman"/>
          <w:sz w:val="32"/>
          <w:szCs w:val="32"/>
        </w:rPr>
        <w:t>One of the emigrants who died along the way to the Holy Land was Zaynu’l-Ábidín of Yazd. When, in Man</w:t>
      </w:r>
      <w:r>
        <w:rPr>
          <w:rFonts w:cs="Times New Roman" w:ascii="Times New Roman" w:hAnsi="Times New Roman"/>
          <w:sz w:val="32"/>
          <w:szCs w:val="32"/>
          <w:u w:val="single"/>
        </w:rPr>
        <w:t>sh</w:t>
      </w:r>
      <w:r>
        <w:rPr>
          <w:rFonts w:cs="Times New Roman" w:ascii="Times New Roman" w:hAnsi="Times New Roman"/>
          <w:sz w:val="32"/>
          <w:szCs w:val="32"/>
        </w:rPr>
        <w:t xml:space="preserve">ad, this devoted man first heard the cry of God, he was awakened to restless life. A holy passion stirred him, his soul was made new. The light of guidance flamed from the lamp of his heart; the love of God sparked a revolution in the country of his inner self. Carried away by love for the Loved One’s beauty, he left the home that was dear to him and set out for the Desired Land.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As he traveled along with his two sons, gladdened by hopes of the meeting that would be his, he paused on every hilltop, in every plain, village and hamlet to visit with the friends. But the great distance stretching out before him changed to a sea of troubles, and although his spirit yearned, his body weakened, and at the end he sickened and turned helpless; all this when he was without a home.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Sick as he was, he did not renounce the journey, nor fail in his resolve; he had amazing strength of will, and was determined to keep on; but the illness worsened with every passing day, until at last he winged his way to the mercy of God, and yielded up his soul in a longing unfulfilled. </w:t>
      </w:r>
    </w:p>
    <w:p>
      <w:pPr>
        <w:pStyle w:val="Normal"/>
        <w:jc w:val="both"/>
        <w:rPr>
          <w:rFonts w:ascii="Naskh MT for Bosch School" w:hAnsi="Naskh MT for Bosch School" w:cs="Naskh MT for Bosch School"/>
        </w:rPr>
      </w:pPr>
      <w:r>
        <w:rPr>
          <w:rFonts w:cs="Times New Roman"/>
          <w:sz w:val="32"/>
          <w:szCs w:val="32"/>
        </w:rPr>
        <w:t xml:space="preserve">Although to outward eyes he never drained the cup of meeting, never gazed upon the beauty of Bahá’u’lláh, still </w:t>
      </w:r>
      <w:bookmarkStart w:id="1" w:name="Page_84"/>
      <w:bookmarkEnd w:id="1"/>
      <w:r>
        <w:rPr>
          <w:rFonts w:cs="Times New Roman"/>
          <w:sz w:val="32"/>
          <w:szCs w:val="32"/>
        </w:rPr>
        <w:t>he achieved the very spirit of spiritual communion; he is accounted as one of those who attained the Presence, and for him the reward of those who reached that Presence is fixed and ordained. He was a stainless soul, faithful, devoted and true. He never drew a breath except in righteousness, and his single desire was to worship his Lord. He walked the ways of love; he was known to all for steadfast loyalty and pure intent. May God fill up reunion’s cup for him in a fair country, make him to enter the everlasting Kingdom, and console his eyes with beholding the lights of that mysterious Realm.</w:t>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