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Ustád ‘Alí-Akbar-i-Najjár</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02"/>
      <w:bookmarkEnd w:id="0"/>
      <w:r>
        <w:rPr>
          <w:rFonts w:cs="Times New Roman" w:ascii="Times New Roman" w:hAnsi="Times New Roman"/>
          <w:sz w:val="32"/>
          <w:szCs w:val="32"/>
        </w:rPr>
        <w:t>Ustád ‘Alí-Akbar, the Cabinet-Maker,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was numbered among the just, a prince of the righteous. He was one of Persia’s earliest believers and a leading member of that company. From the beginning of the Cause a trusted confidant, he loosed his tongue to proclaim the Faith. He informed himself as to its proofs, and went deep into its Scriptures. He was also a gifted poet, writing odes in eulogy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Exceptionally skilled in his craft, Ustád produced highly ingenious work, fashioning carpentry that, for intricacy and precision, resembled mosaic inlay. He was expert in mathematics as well, solving and explaining difficult problems. </w:t>
      </w:r>
    </w:p>
    <w:p>
      <w:pPr>
        <w:pStyle w:val="NormalWeb"/>
        <w:jc w:val="both"/>
        <w:rPr/>
      </w:pPr>
      <w:r>
        <w:rPr>
          <w:rFonts w:cs="Times New Roman" w:ascii="Times New Roman" w:hAnsi="Times New Roman"/>
          <w:sz w:val="32"/>
          <w:szCs w:val="32"/>
        </w:rPr>
        <w:t>From Yazd, this revered man traveled to ‘Iráq, where he achieved the honor of entering the presence of Bahá’u’lláh, and received abundant grace. The Blessed Beauty showered favors upon Ustád ‘Alí, who entered His presence almost every day. He was one of those who were exiled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and he endured severe hardships there. He remained a long time in Mosul, in extremely straitened </w:t>
      </w:r>
      <w:bookmarkStart w:id="1" w:name="Page_103"/>
      <w:bookmarkEnd w:id="1"/>
      <w:r>
        <w:rPr>
          <w:rFonts w:cs="Times New Roman" w:ascii="Times New Roman" w:hAnsi="Times New Roman"/>
          <w:sz w:val="32"/>
          <w:szCs w:val="32"/>
        </w:rPr>
        <w:t xml:space="preserve">circumstances but resigned to the will of God, always in prayer and supplication, and with a thankful tongue.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Finally he came from Mosul to the Holy Shrine and here by the tomb of Bahá’u’lláh he would meditate and pray. In the dark of the night, restless and uneasy, he would lament and cry out; when he was supplicating God his heart burned within him; his eyes would shed their tears, and he would lift up his voice and chant. He was completely cut off from this dust heap, this mortal world. He shunned it, he asked but one thing—to soar away; and he hoped for the promised recompense to come. He could not bear for the Light of the World to have disappeared, and what he sought was the paradise of reunion with Him, and what his eyes hungered to behold was the glory of the Abhá Realm. At last his prayer was answered and he rose upward into the world of God, to the gathering-place of the splendors of the Lord of Lords. </w:t>
      </w:r>
    </w:p>
    <w:p>
      <w:pPr>
        <w:pStyle w:val="Normal"/>
        <w:jc w:val="both"/>
        <w:rPr>
          <w:rFonts w:ascii="Naskh MT for Bosch School" w:hAnsi="Naskh MT for Bosch School" w:cs="Naskh MT for Bosch School"/>
        </w:rPr>
      </w:pPr>
      <w:r>
        <w:rPr>
          <w:rFonts w:cs="Times New Roman"/>
          <w:sz w:val="32"/>
          <w:szCs w:val="32"/>
        </w:rPr>
        <w:t>Upon him be God’s benediction and praise, and may God bring him into the abode of peace, as He has written in His book: “For them is an abode of peace with their Lord.”</w:t>
      </w:r>
      <w:r>
        <w:rPr>
          <w:rStyle w:val="EndnoteCharacters"/>
          <w:rStyle w:val="EndnoteAnchor"/>
          <w:rFonts w:cs="Times New Roman"/>
          <w:sz w:val="32"/>
          <w:szCs w:val="32"/>
        </w:rPr>
        <w:endnoteReference w:id="3"/>
      </w:r>
      <w:r>
        <w:rPr>
          <w:rFonts w:cs="Times New Roman"/>
          <w:sz w:val="32"/>
          <w:szCs w:val="32"/>
        </w:rPr>
        <w:t xml:space="preserve"> “And to those who serve Him, is God full of kindness.”</w:t>
      </w:r>
      <w:r>
        <w:rPr>
          <w:rStyle w:val="EndnoteCharacters"/>
          <w:rStyle w:val="EndnoteAnchor"/>
          <w:rFonts w:cs="Times New Roman"/>
          <w:sz w:val="32"/>
          <w:szCs w:val="32"/>
        </w:rPr>
        <w:endnoteReference w:id="4"/>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Ustád is a master, one who is skilled in an art or profession.</w:t>
      </w:r>
    </w:p>
  </w:endnote>
  <w:endnote w:id="3">
    <w:p>
      <w:pPr>
        <w:pStyle w:val="Endnote"/>
        <w:rPr/>
      </w:pPr>
      <w:r>
        <w:rPr>
          <w:rStyle w:val="EndnoteCharacters"/>
        </w:rPr>
        <w:endnoteRef/>
      </w:r>
      <w:r>
        <w:rPr/>
        <w:tab/>
        <w:t>Qur’án 6:127.</w:t>
      </w:r>
    </w:p>
  </w:endnote>
  <w:endnote w:id="4">
    <w:p>
      <w:pPr>
        <w:pStyle w:val="Endnote"/>
        <w:rPr/>
      </w:pPr>
      <w:r>
        <w:rPr>
          <w:rStyle w:val="EndnoteCharacters"/>
        </w:rPr>
        <w:endnoteRef/>
      </w:r>
      <w:r>
        <w:rPr/>
        <w:tab/>
        <w:t>Qur’án 3:28.</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