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numPr>
          <w:ilvl w:val="0"/>
          <w:numId w:val="1"/>
        </w:numPr>
        <w:tabs>
          <w:tab w:val="clear" w:pos="720"/>
        </w:tabs>
        <w:spacing w:before="0" w:after="280"/>
        <w:ind w:left="0" w:right="0" w:hanging="0"/>
        <w:jc w:val="center"/>
        <w:rPr>
          <w:rFonts w:ascii="Simplified Arabic" w:hAnsi="Simplified Arabic" w:cs="Simplified Arabic"/>
          <w:b/>
          <w:b/>
          <w:bCs/>
          <w:sz w:val="32"/>
          <w:szCs w:val="32"/>
        </w:rPr>
      </w:pPr>
      <w:r>
        <w:rPr>
          <w:rFonts w:ascii="Simplified Arabic" w:hAnsi="Simplified Arabic"/>
          <w:b/>
          <w:b/>
          <w:bCs/>
          <w:sz w:val="32"/>
          <w:sz w:val="32"/>
          <w:szCs w:val="32"/>
          <w:rtl w:val="true"/>
        </w:rPr>
        <w:t>جناب الحاج محمد رضى الشيرازي</w:t>
      </w:r>
    </w:p>
    <w:p>
      <w:pPr>
        <w:pStyle w:val="TextBody"/>
        <w:spacing w:before="0" w:after="28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jc w:val="left"/>
        <w:rPr>
          <w:rFonts w:ascii="Simplified Arabic" w:hAnsi="Simplified Arabic" w:cs="Simplified Arabic"/>
          <w:b/>
          <w:b/>
          <w:bCs/>
          <w:sz w:val="32"/>
          <w:szCs w:val="32"/>
        </w:rPr>
      </w:pPr>
      <w:r>
        <w:rPr>
          <w:rFonts w:cs="Simplified Arabic" w:ascii="Simplified Arabic" w:hAnsi="Simplified Arabic"/>
          <w:b/>
          <w:bCs/>
          <w:sz w:val="32"/>
          <w:szCs w:val="32"/>
          <w:rtl w:val="true"/>
        </w:rPr>
      </w:r>
    </w:p>
    <w:p>
      <w:pPr>
        <w:pStyle w:val="TextBody"/>
        <w:spacing w:before="0" w:after="280"/>
        <w:jc w:val="both"/>
        <w:rPr/>
      </w:pPr>
      <w:r>
        <w:rPr>
          <w:rFonts w:cs="Simplified Arabic" w:ascii="Simplified Arabic" w:hAnsi="Simplified Arabic"/>
          <w:sz w:val="32"/>
          <w:szCs w:val="32"/>
          <w:rtl w:val="true"/>
        </w:rPr>
        <w:tab/>
      </w:r>
      <w:r>
        <w:rPr>
          <w:rFonts w:ascii="Simplified Arabic" w:hAnsi="Simplified Arabic"/>
          <w:sz w:val="32"/>
          <w:sz w:val="32"/>
          <w:szCs w:val="32"/>
          <w:rtl w:val="true"/>
        </w:rPr>
        <w:t>جناب الحاج محمد رضى الشيرازي، هو أحد المهاجرين والمجاورين وهذا الشخص الرباني من أهالي مدينة شيراز</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وكان مظهر</w:t>
      </w:r>
      <w:r>
        <w:rPr>
          <w:rFonts w:ascii="Simplified Arabic" w:hAnsi="Simplified Arabic"/>
          <w:sz w:val="32"/>
          <w:sz w:val="32"/>
          <w:szCs w:val="32"/>
          <w:rtl w:val="true"/>
          <w:lang w:bidi="ar-JO"/>
        </w:rPr>
        <w:t>ً</w:t>
      </w:r>
      <w:r>
        <w:rPr>
          <w:rFonts w:ascii="Simplified Arabic" w:hAnsi="Simplified Arabic"/>
          <w:sz w:val="32"/>
          <w:sz w:val="32"/>
          <w:szCs w:val="32"/>
          <w:rtl w:val="true"/>
        </w:rPr>
        <w:t xml:space="preserve">ا للإيمان والإيقان بعجز وانكسار متناهيين، وبغاية الاطمئنان سرع إلى ظل العناية الربانية بمجرد ارتفاع النداء وهو ألسْت </w:t>
      </w:r>
      <w:r>
        <w:rPr>
          <w:rFonts w:cs="Simplified Arabic" w:ascii="Simplified Arabic" w:hAnsi="Simplified Arabic"/>
          <w:sz w:val="32"/>
          <w:szCs w:val="32"/>
          <w:rtl w:val="true"/>
        </w:rPr>
        <w:t>(</w:t>
      </w:r>
      <w:r>
        <w:rPr>
          <w:rFonts w:ascii="Simplified Arabic" w:hAnsi="Simplified Arabic"/>
          <w:sz w:val="32"/>
          <w:sz w:val="32"/>
          <w:szCs w:val="32"/>
          <w:rtl w:val="true"/>
        </w:rPr>
        <w:t>بربكم</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إذ قال – بَلَى – فأصبح مشكاة مصباح الهدى وفي غاية التبتل والابتهال ووُفق لخدمة أحد أفنان السدرة المباركة المدعو الحاج ميرزا محمد علي مدة طويل</w:t>
      </w:r>
      <w:r>
        <w:rPr>
          <w:rFonts w:ascii="Simplified Arabic" w:hAnsi="Simplified Arabic"/>
          <w:sz w:val="32"/>
          <w:sz w:val="32"/>
          <w:szCs w:val="32"/>
          <w:rtl w:val="true"/>
          <w:lang w:bidi="ar-JO"/>
        </w:rPr>
        <w:t>ة</w:t>
      </w:r>
      <w:r>
        <w:rPr>
          <w:rFonts w:ascii="Simplified Arabic" w:hAnsi="Simplified Arabic"/>
          <w:sz w:val="32"/>
          <w:sz w:val="32"/>
          <w:szCs w:val="32"/>
          <w:rtl w:val="true"/>
        </w:rPr>
        <w:t xml:space="preserve"> وكان أنيسًا ومجلسه لا يمل ولا يرجو غير الخير للجميع</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 طوّحت به يد الأسفار إلى مختلف الأقطار إلى أن ألقى عصاه في الأرض المقدّسة ووصل إلى الساحة المقدّسة وفاز بشرف اللقاء بكمال الخضوع والخشوع وانتهل من بحر الألطاف غير المحدود وآقام بجوار العتبة العليا زمنًا ليس باليسير متمتعًا بالمثول بين يدي الحضرة في أغلب الأوقات مشمولاً بنظر العناية والفضل والموهبة الكاملة</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في حسن الأخلاق فقد بزّ الكثير من أقرانه عاملاً بالتعاليم الإلهية، ساكنًا صبورًا على الشدائد، متفانيًا في تنفيذ إرادة من لا شبيه له، زاهدًا في الدنيا، غاية أمله الوحيد رضاء الله ولم يتحول عن ذلك أيام حياته</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وسافر بعد ردح من الزمن إلى مدينة بيروت وقام على خدمة حضرة الأفنان المذكور عليه بهاءالله بكل إخلاص مدة طال أمدها، ولم ينقطع عن زيارة العتبة المقدّسة والتشرف بالمثول بين يدي المنظر الأكبر</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ثم</w:t>
      </w:r>
      <w:r>
        <w:rPr>
          <w:rFonts w:ascii="Simplified Arabic" w:hAnsi="Simplified Arabic"/>
          <w:sz w:val="32"/>
          <w:sz w:val="32"/>
          <w:szCs w:val="32"/>
          <w:rtl w:val="true"/>
        </w:rPr>
        <w:t xml:space="preserve"> </w:t>
      </w:r>
      <w:r>
        <w:rPr>
          <w:rFonts w:ascii="Simplified Arabic" w:hAnsi="Simplified Arabic"/>
          <w:sz w:val="32"/>
          <w:sz w:val="32"/>
          <w:szCs w:val="32"/>
          <w:rtl w:val="true"/>
        </w:rPr>
        <w:t>ألمّ به مرض وهو في مدينة صيدا وأعياه عن الذهاب إلى عكاء ثم أدركته المنون فانتقل بكمال التسليم والرضاء إلى الملكوت الأبهى، واستغرق في بحر الأنوار وقد جرى</w:t>
      </w:r>
      <w:r>
        <w:rPr>
          <w:rFonts w:ascii="Simplified Arabic" w:hAnsi="Simplified Arabic"/>
          <w:sz w:val="32"/>
          <w:sz w:val="32"/>
          <w:szCs w:val="32"/>
          <w:rtl w:val="true"/>
          <w:lang w:bidi="ar-JO"/>
        </w:rPr>
        <w:t xml:space="preserve"> من</w:t>
      </w:r>
      <w:r>
        <w:rPr>
          <w:rFonts w:ascii="Simplified Arabic" w:hAnsi="Simplified Arabic"/>
          <w:sz w:val="32"/>
          <w:sz w:val="32"/>
          <w:szCs w:val="32"/>
          <w:rtl w:val="true"/>
        </w:rPr>
        <w:t xml:space="preserve"> القلم الأعلى </w:t>
      </w:r>
      <w:r>
        <w:rPr>
          <w:rFonts w:ascii="Simplified Arabic" w:hAnsi="Simplified Arabic"/>
          <w:sz w:val="32"/>
          <w:sz w:val="32"/>
          <w:szCs w:val="32"/>
          <w:rtl w:val="true"/>
          <w:lang w:bidi="ar-JO"/>
        </w:rPr>
        <w:t xml:space="preserve">عنايات لا حدّ لها في </w:t>
      </w:r>
      <w:r>
        <w:rPr>
          <w:rFonts w:ascii="Simplified Arabic" w:hAnsi="Simplified Arabic"/>
          <w:sz w:val="32"/>
          <w:sz w:val="32"/>
          <w:szCs w:val="32"/>
          <w:rtl w:val="true"/>
        </w:rPr>
        <w:t>ذكره</w:t>
      </w:r>
      <w:r>
        <w:rPr>
          <w:rFonts w:cs="Simplified Arabic" w:ascii="Simplified Arabic" w:hAnsi="Simplified Arabic"/>
          <w:sz w:val="32"/>
          <w:szCs w:val="32"/>
          <w:rtl w:val="true"/>
        </w:rPr>
        <w:t>.</w:t>
      </w:r>
    </w:p>
    <w:p>
      <w:pPr>
        <w:pStyle w:val="TextBody"/>
        <w:spacing w:before="0" w:after="280"/>
        <w:ind w:left="0" w:right="0" w:firstLine="397"/>
        <w:jc w:val="both"/>
        <w:rPr>
          <w:rFonts w:ascii="Simplified Arabic" w:hAnsi="Simplified Arabic" w:cs="Simplified Arabic"/>
          <w:sz w:val="32"/>
          <w:szCs w:val="32"/>
        </w:rPr>
      </w:pPr>
      <w:r>
        <w:rPr>
          <w:rFonts w:ascii="Simplified Arabic" w:hAnsi="Simplified Arabic"/>
          <w:sz w:val="32"/>
          <w:sz w:val="32"/>
          <w:szCs w:val="32"/>
          <w:rtl w:val="true"/>
        </w:rPr>
        <w:t>في الحقيقة، إن هذا الشخص يعدّ من الثابتين الراسخين في الأمر وركنًا ركينًا في العبودية للجمال المبارك ولطالما سمعت ذكره بالخير من الفم المطهر</w:t>
      </w:r>
      <w:r>
        <w:rPr>
          <w:rFonts w:cs="Simplified Arabic" w:ascii="Simplified Arabic" w:hAnsi="Simplified Arabic"/>
          <w:sz w:val="32"/>
          <w:szCs w:val="32"/>
          <w:rtl w:val="true"/>
        </w:rPr>
        <w:t>.</w:t>
      </w:r>
    </w:p>
    <w:p>
      <w:pPr>
        <w:pStyle w:val="TextBody"/>
        <w:spacing w:before="0" w:after="280"/>
        <w:ind w:left="0" w:right="0" w:firstLine="397"/>
        <w:jc w:val="both"/>
        <w:rPr>
          <w:rFonts w:ascii="Simplified Arabic" w:hAnsi="Simplified Arabic" w:cs="Simplified Arabic"/>
          <w:sz w:val="32"/>
          <w:szCs w:val="32"/>
        </w:rPr>
      </w:pPr>
      <w:r>
        <w:rPr>
          <w:rFonts w:ascii="Simplified Arabic" w:hAnsi="Simplified Arabic"/>
          <w:sz w:val="32"/>
          <w:sz w:val="32"/>
          <w:szCs w:val="32"/>
          <w:rtl w:val="true"/>
        </w:rPr>
        <w:t>عليه التحية والثناء، وعليه البهاء الأبهى، وعليه الرحمة الكبرى، وله المغفرة العظمى من رب السموات العلى</w:t>
      </w:r>
      <w:r>
        <w:rPr>
          <w:rFonts w:cs="Simplified Arabic" w:ascii="Simplified Arabic" w:hAnsi="Simplified Arabic"/>
          <w:sz w:val="32"/>
          <w:szCs w:val="32"/>
          <w:rtl w:val="true"/>
        </w:rPr>
        <w:t xml:space="preserve">.  </w:t>
      </w:r>
      <w:r>
        <w:rPr>
          <w:rFonts w:ascii="Simplified Arabic" w:hAnsi="Simplified Arabic"/>
          <w:sz w:val="32"/>
          <w:sz w:val="32"/>
          <w:szCs w:val="32"/>
          <w:rtl w:val="true"/>
        </w:rPr>
        <w:t>أما قبره المنور ففي مدينة صيدا بجوار المقام المشهور بمقام سيدنا يحيى</w:t>
      </w:r>
      <w:r>
        <w:rPr>
          <w:rFonts w:cs="Simplified Arabic" w:ascii="Simplified Arabic" w:hAnsi="Simplified Arabic"/>
          <w:sz w:val="32"/>
          <w:szCs w:val="32"/>
          <w:rtl w:val="true"/>
        </w:rPr>
        <w:t>.</w:t>
      </w:r>
    </w:p>
    <w:p>
      <w:pPr>
        <w:pStyle w:val="PlainText"/>
        <w:bidi w:val="1"/>
        <w:ind w:left="0" w:right="0" w:hanging="0"/>
        <w:jc w:val="both"/>
        <w:rPr>
          <w:rFonts w:ascii="Simplified Arabic" w:hAnsi="Simplified Arabic" w:eastAsia="MS Mincho;ＭＳ 明朝" w:cs="Simplified Arabic"/>
          <w:color w:val="FF0000"/>
          <w:sz w:val="32"/>
          <w:szCs w:val="32"/>
        </w:rPr>
      </w:pPr>
      <w:r>
        <w:rPr>
          <w:rFonts w:eastAsia="Simplified Arabic" w:cs="Simplified Arabic" w:ascii="Simplified Arabic" w:hAnsi="Simplified Arabic"/>
          <w:color w:val="FF0000"/>
          <w:sz w:val="32"/>
          <w:szCs w:val="32"/>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Simplified Arabic" w:hAnsi="Simplified Arabic" w:cs="Simplified Arabic"/>
        <w:color w:val="0000FF"/>
        <w:rtl w:val="true"/>
      </w:rPr>
      <w:t xml:space="preserve">تذكرة الوفاء – آثار حضرة عبدالبهاء </w:t>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43"/>
      <w:numFmt w:val="decimal"/>
      <w:lvlText w:val="(%1)"/>
      <w:lvlJc w:val="right"/>
      <w:pPr>
        <w:tabs>
          <w:tab w:val="num" w:pos="781"/>
        </w:tabs>
        <w:ind w:left="781" w:hanging="780"/>
      </w:pPr>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