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Ḥusayn Effendi Tabrízí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 xml:space="preserve">This youth was from Tabríz, and he was filled with the love of God like a cup flowing and brimming over with red wine. In the flower of his youth he left Persia and traveled to Greece, making his living as a merchant there; till a day came when, guided by Divine bounty, he </w:t>
      </w:r>
      <w:bookmarkStart w:id="0" w:name="Page_119"/>
      <w:bookmarkEnd w:id="0"/>
      <w:r>
        <w:rPr>
          <w:rFonts w:cs="Times New Roman" w:ascii="Times New Roman" w:hAnsi="Times New Roman"/>
          <w:sz w:val="32"/>
          <w:szCs w:val="32"/>
        </w:rPr>
        <w:t xml:space="preserve">went from Greece to Smyrna, and there he was given the glad tidings of a new Manifestation on earth. He shouted aloud, was frenzied, was drunk with the music of the new message. He escaped from his debits and credits, set out to meet the Lord of his heart, and entered the presence of Bahá’u’lláh. For some time, a trusted attendant and companion, he served the Blessed Beauty. He was then directed to seek a lodging in the city of Haifa.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Here he faithfully waited upon the believers, and his home was a way station for Bahá’í travelers. He had an excellent disposition, a wonderful character, and high, spiritual aims. He was friendly with friend and stranger alike; he was kind to people of every nation and wished them well. </w:t>
      </w:r>
    </w:p>
    <w:p>
      <w:pPr>
        <w:pStyle w:val="NormalWeb"/>
        <w:jc w:val="both"/>
        <w:rPr/>
      </w:pPr>
      <w:r>
        <w:rPr>
          <w:rFonts w:cs="Times New Roman" w:ascii="Times New Roman" w:hAnsi="Times New Roman"/>
          <w:sz w:val="32"/>
          <w:szCs w:val="32"/>
        </w:rPr>
        <w:t>When the Most Great Light ascended to the Concourse above, Ḥusayn Effendi remained faithful to Him, steadfast and firm; and as before, he continued to be a close friend to the friends. Thus he lived for a considerable period, and felt himself better off than the kings of the earth. He became the son-in-law of Mírzá Muḥammad-Qulí, brother of the Blessed Beauty, and remained for a time peaceful and serene. He carefully avoided any occasion of being seduced into error, for he dreaded that the tempest of afflictions might mount in fury, surge ever higher, and sweep many a soul into the fathomless gulf.</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would sigh and mourn, for this fear was with him at all times. At last he could bear the world no longer, and with his own hands stripped off the garment of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unto him, and salutations, and the mercy of God, and Divine acceptance. May God pardon him and make him to enter the highest Heaven, the Paradise that towers above all the rest. His sweet-scented grave is in Haifa.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For the tribulations following Bahá’u’lláh’s departure see God Passes By, chapter XV.</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