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Abdu’r-Rahmán, the Coppersmith</w:t>
      </w:r>
    </w:p>
    <w:p>
      <w:pPr>
        <w:pStyle w:val="Normal"/>
        <w:rPr>
          <w:rFonts w:ascii="Times New Roman" w:hAnsi="Times New Roman" w:cs="Times New Roman"/>
          <w:sz w:val="32"/>
          <w:szCs w:val="32"/>
        </w:rPr>
      </w:pPr>
      <w:r>
        <w:rPr>
          <w:rFonts w:cs="Times New Roman"/>
          <w:sz w:val="32"/>
          <w:szCs w:val="32"/>
        </w:rPr>
      </w:r>
    </w:p>
    <w:p>
      <w:pPr>
        <w:pStyle w:val="Normal"/>
        <w:rPr/>
      </w:pPr>
      <w:r>
        <w:rPr/>
      </w:r>
    </w:p>
    <w:p>
      <w:pPr>
        <w:pStyle w:val="NormalWeb"/>
        <w:jc w:val="both"/>
        <w:rPr/>
      </w:pPr>
      <w:bookmarkStart w:id="0" w:name="Page_139"/>
      <w:bookmarkEnd w:id="0"/>
      <w:r>
        <w:rPr>
          <w:rFonts w:cs="Times New Roman" w:ascii="Times New Roman" w:hAnsi="Times New Roman"/>
          <w:sz w:val="32"/>
          <w:szCs w:val="32"/>
        </w:rPr>
        <w:t>This was a patient and long-enduring man, a native of Ká</w:t>
      </w:r>
      <w:r>
        <w:rPr>
          <w:rFonts w:cs="Times New Roman" w:ascii="Times New Roman" w:hAnsi="Times New Roman"/>
          <w:sz w:val="32"/>
          <w:szCs w:val="32"/>
          <w:u w:val="single"/>
        </w:rPr>
        <w:t>sh</w:t>
      </w:r>
      <w:r>
        <w:rPr>
          <w:rFonts w:cs="Times New Roman" w:ascii="Times New Roman" w:hAnsi="Times New Roman"/>
          <w:sz w:val="32"/>
          <w:szCs w:val="32"/>
        </w:rPr>
        <w:t xml:space="preserve">án. He was one of the very earliest believers. The down was not yet upon his cheek when he drank of the love of God, saw with his own eyes the heavenly table spread out before him, and received his faith and his portion of abounding grace. </w:t>
      </w:r>
    </w:p>
    <w:p>
      <w:pPr>
        <w:pStyle w:val="NormalWeb"/>
        <w:jc w:val="both"/>
        <w:rPr/>
      </w:pPr>
      <w:r>
        <w:rPr>
          <w:rFonts w:cs="Times New Roman" w:ascii="Times New Roman" w:hAnsi="Times New Roman"/>
          <w:sz w:val="32"/>
          <w:szCs w:val="32"/>
        </w:rPr>
        <w:t>In a little while he left his home and set out for the rose garden that was Ba</w:t>
      </w:r>
      <w:r>
        <w:rPr>
          <w:rFonts w:cs="Times New Roman" w:ascii="Times New Roman" w:hAnsi="Times New Roman"/>
          <w:sz w:val="32"/>
          <w:szCs w:val="32"/>
          <w:u w:val="single"/>
        </w:rPr>
        <w:t>gh</w:t>
      </w:r>
      <w:r>
        <w:rPr>
          <w:rFonts w:cs="Times New Roman" w:ascii="Times New Roman" w:hAnsi="Times New Roman"/>
          <w:sz w:val="32"/>
          <w:szCs w:val="32"/>
        </w:rPr>
        <w:t xml:space="preserve">dád, where he achieved the honor of entering the presence of Bahá’u’lláh. He spent some time in ‘Iráq, and won a crown of endless favor: he would enter the presence of Bahá’u’lláh and many a time would accompany Him on foot to the Shrine of the Two Kázims; this was his great delight.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Abdu’r-Rahmán was among the prisoners exiled to Mosul, and later he fairly dragged himself to the fortress at Akká. Here he lived, blessed by Bahá’u’lláh. He carried on a small business, trifling, but he was content with it, happy and at peace. Thus, walking the path of righteousness, he lived to be eighty years old, at which time, serenely patient, he soared away to the Threshold of God. May the Lord enfold him there with His bounty and compassion, and clothe him in the garment of forgiveness. His luminous grave is in Akká.</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