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Muḥammad-Ibráhím-i-Tabrízí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40"/>
      <w:bookmarkEnd w:id="0"/>
      <w:r>
        <w:rPr>
          <w:rFonts w:cs="Times New Roman" w:ascii="Times New Roman" w:hAnsi="Times New Roman"/>
          <w:sz w:val="32"/>
          <w:szCs w:val="32"/>
        </w:rPr>
        <w:t xml:space="preserve">This man, noble and high-minded, was the son of the respected ‘Abdu’l-Faṭṭaḥ who was in the Akká prison. Learning that his father was a captive there, he came with all speed to the fortress so that he too might have a share of those dire afflictions. He was a man wise, understanding, in a tumult from drinking the wine of the love of God, but with a wonderful, basic serenity and calm. </w:t>
      </w:r>
    </w:p>
    <w:p>
      <w:pPr>
        <w:pStyle w:val="NormalWeb"/>
        <w:jc w:val="both"/>
        <w:rPr/>
      </w:pPr>
      <w:r>
        <w:rPr>
          <w:rFonts w:cs="Times New Roman" w:ascii="Times New Roman" w:hAnsi="Times New Roman"/>
          <w:sz w:val="32"/>
          <w:szCs w:val="32"/>
        </w:rPr>
        <w:t xml:space="preserve">He had inherited the nature of his father, and he exemplified the saying that the child is the secret essence of its sire. For this reason, over a long period, he found delight in the neighborhood of the Divine Presence, enjoying utter peace. Daytimes, he would carry on his trade, and at night he would come in all haste to the door of the house, to be with the friends. He was close to all those who were staunch and true; he was full of courage; he was grateful to God, abstemious and chaste, expectant of and relying on the bounty and grace of the Lord. He made his father’s lamp to shine, brightened the household of ‘Abdu’l-Faṭṭaḥ, and left descendants to remain behind him in this swiftly passing world. </w:t>
      </w:r>
    </w:p>
    <w:p>
      <w:pPr>
        <w:pStyle w:val="Normal"/>
        <w:jc w:val="both"/>
        <w:rPr>
          <w:rFonts w:ascii="Naskh MT for Bosch School" w:hAnsi="Naskh MT for Bosch School" w:cs="Naskh MT for Bosch School"/>
        </w:rPr>
      </w:pPr>
      <w:r>
        <w:rPr>
          <w:rFonts w:cs="Times New Roman"/>
          <w:sz w:val="32"/>
          <w:szCs w:val="32"/>
        </w:rPr>
        <w:t xml:space="preserve">He always did what he could to provide for the happiness of the believers; he always saw to their well-being. He was sagacious, grave, and steadfast. By God’s grace, he </w:t>
      </w:r>
      <w:bookmarkStart w:id="1" w:name="Page_141"/>
      <w:bookmarkEnd w:id="1"/>
      <w:r>
        <w:rPr>
          <w:rFonts w:cs="Times New Roman"/>
          <w:sz w:val="32"/>
          <w:szCs w:val="32"/>
        </w:rPr>
        <w:t>stayed loyal to the end, and sound in faith. May God give him to drink from the cup of forgiveness; may he sip from the spring of God’s bounty and good pleasure; may God raise him up to the heights of Divine bestowal. His sweet-scented tomb is in Akká.</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