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FF0000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هُوَ الأَبْهَى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إِلَهِي إِلَهِي إِنَّي أَبْسُطُ إِلَيْكَ أَكُفَّ التَّضَرُّعِ وَالتَّبَتُّلِ وَالابْتِهَالِ وَأُعَف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وَجْهِي بِتُرَابِ عَتَبَةٍ تَقَدَّسَتْ عَنْ إِدْرَاكِ أَهْلِ الحَقَائِقِ وَالنُّعُوتِ مِنْ أُوْلِي الأَلْبَابِ أَنْ تَنْظُرَ إِلَى عَبْدِكَ الخَاضِعِ الخَاشِعِ بِبَابِ أَحَدِيَّتِكَ بِلَحَظَاتِ أَعْيُنِ رَحْمَانِيَّتِكَ وَتَغْم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رَهُ فِي بِحَارِ رَحْمَةِ صَمَدَانِيَّتِكَ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أَيْ رَبِّ 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عَبْدُكَ البَائِسُ الفَقِيرُ وَرَقِيْقُكَ السَّائِلُ المُتَضَر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 الأَسِيرُ، مُبْتَهِلٌ إِلَيْكَ مُتَوَكِّلٌ عَلَيْكَ مُتَضَرِّعٌ بَيْنَ يَدَيْكَ يُنَادِيْكَ وَيُنَاجِيْكَ وَيَقُولُ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رَبِّ أَيِّدْنِيْ عَلَى خِدْمَةِ أَحِبَّا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وَقَو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نِيْ عَلَى عُبُودِيَّةِ حَضْرَةِ أَحَدِيَّتِكَ وَنَو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جَبِيْنِيْ بِأَنْوَارِ التَّعَب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دِ فِيْ سَاحَةِ قُدْسِكَ وَالتَّبَتُّلِ إِلَى مَلَكُوتِ عَظَمَتِكَ وَحَق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قْنِيْ بِالفَنَاءِ فِيْ فِنَاءِ بَابِ أُلُوْهِيَّتِكَ وَأَعِن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 عَلَى المُوَاظَبَةِ عَلَى الانْعِدَامِ فِيْ رَحْبَةِ رُبُوبِيَّتِكَ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أَيْ رَبِّ اسْقِنِي كَأْسَ الفَنَاءِ وَأَلْبِسْنِيْ ثَوْبَ الفَنَاءِ وَأَغْرِقْنِيْ فِيْ بَحْرِ الفَنَاءِ وَاجْعَلْنِيْ غُبَارًا فِيْ مَمَر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الأَحِب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اءِ وَاجْعَلْنِي فِدَاءً لِلْأَرْضِ الَّتِيْ وَطِئَتْهَا أَقْدَامُ الأَصْفِيَاءِ فِيْ سَبِيْلِكَ يَا رَبِّ العِزَّةِ وَالعُلَى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إِنَّكَ أَنْتَ الكَرِيمُ المُتَعَالِ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هَذَا مَا يُنَادِيْكَ بِهِ ذَلِكَ العَبْدُ فِيْ البُكُورِ وَالآصَالِ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أَيْ رَبِّ حَق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 آمَالَهُ وَنَو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أَسْرَارَهُ وَاشْرَحْ صَدْرَهُ وَأَوْقِدْ مِصْبَاحَهُ فِيْ خِدْمَةِ أَمْرِكَ وَعِبَادِكَ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إِنَّكَ أَنْتَ الكَرِيمُ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الرَّحِيمُ الوَهَّابُ وَإِنَّكَ أَنْتَ العَزِيزُ الرَؤُوْفُ الرَّحْمَنُ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 xml:space="preserve">مناجاة اللقاء </w:t>
    </w:r>
    <w:r>
      <w:rPr>
        <w:rFonts w:cs="Traditional Arabic" w:ascii="Traditional Arabic" w:hAnsi="Traditional Arabic"/>
        <w:b/>
        <w:bCs/>
        <w:color w:val="0000FF"/>
        <w:sz w:val="28"/>
        <w:szCs w:val="28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 xml:space="preserve">حضرة عبدالبهاء – نسائم الرحمن، الصفحة 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lang w:bidi="fa-IR"/>
      </w:rPr>
      <w:t>۱۲۳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5401310</wp:posOffset>
              </wp:positionH>
              <wp:positionV relativeFrom="paragraph">
                <wp:posOffset>19685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1.55pt;mso-position-vertical-relative:text;margin-left:425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