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spacing w:before="0" w:after="280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2"/>
          <w:szCs w:val="32"/>
          <w:lang w:bidi="ar-JO"/>
        </w:rPr>
      </w:pPr>
      <w:r>
        <w:rPr>
          <w:rFonts w:ascii="Simplified Arabic" w:hAnsi="Simplified Arabic" w:cs="Simplified Arabic"/>
          <w:b/>
          <w:b/>
          <w:bCs/>
          <w:sz w:val="32"/>
          <w:sz w:val="32"/>
          <w:szCs w:val="32"/>
          <w:rtl w:val="true"/>
          <w:lang w:bidi="ar-JO"/>
        </w:rPr>
        <w:t>تجديد تعاليم الأنبياء</w:t>
      </w:r>
    </w:p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 xml:space="preserve">في ليلة </w:t>
      </w:r>
      <w:r>
        <w:rPr>
          <w:rFonts w:cs="Simplified Arabic" w:ascii="Simplified Arabic" w:hAnsi="Simplified Arabic"/>
          <w:sz w:val="32"/>
          <w:szCs w:val="32"/>
          <w:lang w:bidi="ar-JO"/>
        </w:rPr>
        <w:t>14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 xml:space="preserve">أيلول </w:t>
      </w:r>
      <w:r>
        <w:rPr>
          <w:rFonts w:cs="Simplified Arabic" w:ascii="Simplified Arabic" w:hAnsi="Simplified Arabic"/>
          <w:sz w:val="32"/>
          <w:szCs w:val="32"/>
          <w:lang w:bidi="ar-JO"/>
        </w:rPr>
        <w:t>1911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ألقى حضرة عبد البهاء</w:t>
      </w:r>
    </w:p>
    <w:p>
      <w:pPr>
        <w:pStyle w:val="Normal"/>
        <w:bidi w:val="1"/>
        <w:spacing w:before="0" w:after="280"/>
        <w:ind w:left="0" w:right="0" w:hanging="0"/>
        <w:jc w:val="center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eastAsia="Simplified Arabic" w:cs="Simplified Arabic" w:ascii="Simplified Arabic" w:hAnsi="Simplified Arabic"/>
          <w:sz w:val="32"/>
          <w:szCs w:val="32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 xml:space="preserve">هذه الكلمة الموجزة أمام رئيس جمعيّة الثّيوسوفيّين </w:t>
      </w:r>
    </w:p>
    <w:p>
      <w:pPr>
        <w:pStyle w:val="Normal"/>
        <w:bidi w:val="1"/>
        <w:spacing w:before="0" w:after="280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2"/>
          <w:szCs w:val="32"/>
          <w:lang w:bidi="ar-JO"/>
        </w:rPr>
      </w:pPr>
      <w:r>
        <w:rPr>
          <w:rFonts w:ascii="Simplified Arabic" w:hAnsi="Simplified Arabic" w:cs="Simplified Arabic"/>
          <w:b/>
          <w:b/>
          <w:bCs/>
          <w:sz w:val="32"/>
          <w:sz w:val="32"/>
          <w:szCs w:val="32"/>
          <w:rtl w:val="true"/>
          <w:lang w:bidi="ar-JO"/>
        </w:rPr>
        <w:t xml:space="preserve">هو الله </w:t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ab/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بلّغ تحيّتي واحترامي للجمعيّة الثّيوسوفيّة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وقل لهم إنّكم في الحقيقة خدمتم وحدة الجنس البشريّ لأنّه ليس لديكم تعصّب الجاهليّة، ولأنّكم تريدون توحيد البشر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وكلّ من يخدم قضيّة وحدة البشر اليوم مقبول عند الله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ذلك لأنّ جميع أنبياء الله سعوا في سبيل وحدة الجنس البشريّ وقدّموا خدماتهم للعالم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ولأنّ أساس التّعاليم الإلهيّة هو وحدة العالم الإنسانيّ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ab/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فسيّدنا موسى سعى من أجل وحدة العالم الإنسانيّ، والسّيّد المسيح أسّس وحدة العالم الإنسانيّ، وسيّدنا محمّد أعلن الوحدة الإنسانيّة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فالإنجيل والتّوراة والقرآن كتب إلهيّة وضعت أساس الوحدة الإنسانيّة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وما شريعة الله إلاّ شريعة واحدة، وما دين الله إلاّ دين واحد، وهو الألفة والمحبّة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ab/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ولقد جدّد حضرة بهاء الله تعاليم الأنبياء، وأعلن أساس دين الله وألّف بين الأمم المختلفة، وجمع الأديان المتباينة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ونفَذَت تعاليمه في عروق البشر وأعصابهم نفاذًا أوجد الاتّحاد بين القبائل المختلفة والشّعوب المتباينة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ولمّا كنتم أنتم عاملين على تحقيق هذا المقصد الجليل فإنّني أدعو من أجلكم وألتمس لكم التّأييد الإلهيّ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>.</w:t>
      </w:r>
    </w:p>
    <w:p>
      <w:pPr>
        <w:pStyle w:val="PlainText"/>
        <w:bidi w:val="1"/>
        <w:ind w:left="0" w:right="0" w:hanging="0"/>
        <w:jc w:val="both"/>
        <w:rPr>
          <w:rFonts w:eastAsia="MS Mincho;ＭＳ 明朝"/>
        </w:rPr>
      </w:pPr>
      <w:r>
        <w:rPr>
          <w:rFonts w:eastAsia="Simplified Arabic" w:cs="Simplified Arabic" w:ascii="Simplified Arabic" w:hAnsi="Simplified Arabic"/>
          <w:color w:val="FF0000"/>
          <w:sz w:val="32"/>
          <w:szCs w:val="32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