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الإنسان مرآة ممثّلة للحقّ</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الإثنين الموافق </w:t>
      </w:r>
      <w:r>
        <w:rPr>
          <w:rFonts w:cs="Simplified Arabic" w:ascii="Simplified Arabic" w:hAnsi="Simplified Arabic"/>
          <w:color w:val="000000"/>
          <w:sz w:val="32"/>
          <w:szCs w:val="32"/>
          <w:lang w:bidi="ar-JO"/>
        </w:rPr>
        <w:t>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 الثّاني ألقى حضرة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عبد البهاء الخطبة التّالية في منزله المبارك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جئت قادمًا من الشّرق إلى الغرب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وكنّا نسمع ونحن في الشّرق أنّ أهل الغرب ليست لديهم إحساسات 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إلاّ أنّني ألاحظ الآن أنَّ لديهم –والحمد 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مثل هذه الإحساسات، بل إنّ إحساساتهم الرّوحانيّة تفوق إحساسات أهل الشّرق، إلاّ أنّه لم يتيسّر لهم مربّ روحانيّ حتّى الآن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ظهر في الغرب مربّون روحانيّون كما ظهر في الشّرق لاتّضح ما للغرب من تفوّق روحيّ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 التّعاليم الّتي اشتهرت في الشّرق اشتهرت في الغرب لعرف اليوم مدى الرّوحانيّة الّتي كانت تظهر في الغرب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لعلى يقين أنّ استعداد أهل الغرب للرّوحانيّات عظيم وإن وجد فيه بعض من حرموا من الرّوحانيّات على الإطلاق، فكانوا مثل الحجارة الّتي لا تدرك شيئًا من الرّوحانيّات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ويريد هؤلاء أن يكون الإنسان شبيهًا بالحيوان فكما أنّ الحيوان محروم من الرّوحانيّات كذلك يحرم 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يجب أن تكون همّة الإنسان عالية، وأن يتّجه نحو العلاء حتّى يبلغ عالم الرّحمن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هؤلاء النّاس يجتهدون في أن يرتقي الإنسان ارتقاءً معكوسًا، ويريدون أن يصلوا نسب الإنسان بالقرد</w:t>
      </w:r>
      <w:r>
        <w:br w:type="page"/>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بالرّغم من أنَّ الإنسان من سلالة إلهيّة مقدّسة، وهذا هو غاية همّتهم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وما أبعد أفكارهم عن الصّواب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فالواقع أنّه ليس بين الإنسان والحيوان أيّ تشابه برغم اشتراكهما في بعض الأمور الجسمانيّة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فللإنسان عقل وأفكاره وعلومه ومعارفه ترتقي يومًا بعد يوم وإنّكم لتلاحظون مدى الرّقيّ الّذي حقّقه الإنسان منذ القرون الوسطى حتّى اليوم، ومقدار الاكتشافات والبدائع الّتي ظهرت على يديه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أنّنا قارنّا بين جميع الصّناعات والعلوم والاكتشافات الّتي تمّت في خمسين قرنًا وبين صناعات هذا القرن واكتشافاته لوجدنا أنّها لا تكاد تعادل ما تمّ منها في سنة واحدة لهذا العصر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تحقّق منذ أيّام موسى وحتّى القرن الحالي من العلوم والصّناعات والاكتشافات لا يعادل ما ظهر منها في القرن الأخير وحده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أصبح من الواضح إذًا أنّ الإنسان في رقيّ دائم، وسبب هذا الرّقي تلك القوّة العاقلة، وقوّة الفيوضات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الحيوان فإنّه لا يملك هاتين القوّتين بمعنى أنّ حيوان اليوم هو نفسه حيوان خمسة آلاف سنة مضت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هناك امتياز للإنسان أعظم من هذا الامتياز</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وواضح أنّ الإنسان أشرف المخلوقات وأنّه مرآة ممثّلة للحقّ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كنت قد لاحظت وجود الإحساسات الرّوحانيّة في هذه البقاع لذلك فإنّني مسرور جدًّا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وأملي أن يصبح الغرب شرقًا، وأن تعمّ الإحساسات الرّوحانيّة فيه وتحيط بأرجائه، وأن يصل إلى النّفوس –بواسطة تعاليم حضرة بهاء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من القوّة ما يضيء الغرب كالشّرق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اللّهم يا واهب العطاء، ويا غافر الخطأ، ويا راحم الضّعفاء من عبادك الأصفياء، تراني واقفًا بين يديك مبتهلاً إليك ناظرًا إليك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أسألك برحمتك الّتي سبقت الممكنات بأن تؤيّد هؤلاء على ما تحبّ وترضى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ونوّر قلوبهم بنور الهدى وأسمعهم نداء ملكوتك الأبهى،</w:t>
      </w:r>
      <w:r>
        <w:rPr>
          <w:rFonts w:ascii="Simplified Arabic" w:hAnsi="Simplified Arabic" w:cs="Simplified Arabic"/>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واجعل لهم نصيبًا من بحر العطاء ثمّ استقمهم على أمرك بين الورى لئلاّ تزعزعهم أرياح الاختلاف من أولي الاعتساف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ربّ اجعلنا آيات رحمتك بين خلقك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ورايات معرفتك بين عبادك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ونفوسنا منقطعة إليك، وقلوبنا منجذبة بآيات تقديسك، وأيّد هؤلاء الضّعفاء برحمتك الكبرى، وهؤلاء الفقراء بموهبتك العظمى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ربِّ إنّك حنّان على كلّ فقير، ومنّان لكلّ أسير، ومعين لكلّ ضعيف، ومغيث لكلّ ذليل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ترانا أذلاّء ببابك، فقراء إلى ملكوت غنائك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فارحمنا بفضلك وجودك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واعفُ عنّا خطايانا بفضلك وعنايتك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الكريم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المقتدر القدير</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