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رقي الرّوح وبقاؤها </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مساء يوم الجمعة الموافق </w:t>
      </w:r>
      <w:r>
        <w:rPr>
          <w:rFonts w:cs="Simplified Arabic" w:ascii="Simplified Arabic" w:hAnsi="Simplified Arabic"/>
          <w:color w:val="000000"/>
          <w:sz w:val="32"/>
          <w:szCs w:val="32"/>
          <w:lang w:bidi="ar-JO"/>
        </w:rPr>
        <w:t>10</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 حضرة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عبد البهاء هذه الخطبة أيضًا في منزل مسيو دريفوس في باريس</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 بدّ لي من أن أحدّثكم اللّيلة عن رقيّ الرّوح وخلودها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كلّ موجود لا بدّ له من أن يكون إمّا في حالة ارتقاء أو في حالة تدنّي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فليس هناك في الكائنات توقّف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جميع الكائنات لها حركة جوهريّة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فهي إمّا أن تنتقل من العدم إلى الوجود، أو من الوجود إلى العدم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والإنسان في ارتقاء منذ بداية وجوده، ويظلّ كذلك إلى أن يبلغ درجة يتوقّف عندها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يأتي التّدنّي بعد التّوقّف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الشّجر منذ بداية وجوده في نشوء ونمو حتّى يبلغ غاية النّمو، ثمّ لا بدّ له أن يتدنى بعد الرّقي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والطّائر مثلاً يظلّ يصعد في طيرانه إلى أن يبلغ أوج التّرقّي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ما توقّف بدأ يتدنّى</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أصبح من المعلوم أنّ جميع الكائنات لها حركة جوهريّة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الحال في عالم الأرواح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لم يتحقّق للرّوح الرّقيّ فهو توقّف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التّوقّف ممتنع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الحركة من لوازم الوجود الذّاتيّة الّتي لا انفكاك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وهي تكون إمّا ذاتيّة أو كيفيّة أو كمّيّة أو روحيّة أو جوهريّة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الواضح أنّ الرّوح لا توقّف لها ولا تدنّي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 لم يكن للرّوح تدنٍّ فلا بدّ لها من التّرقّي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أنّ المراتب محدودة إلاّ أنّ الفيوضات الرّبانيّة غير محدودة والكمالات الإلهيّة غير متناهية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فالرّوح في رقيّ دائم لأنّ اكتسابها للفيض مستمرّ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كيف أنّ روح الإنسان وعقله في رقيّ منذ بداية حياته، وكيف أنّ علمه في ازدياد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فمعلوماته لا تتناقص بل تتزايد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حال الرّوح الإنسانيّة بعد انقطاعها عن هذا الجسد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فهي تظلّ في رقيّ دائم، لأنّ الكمالات غير متناهية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هو السّرّ في أنّ الأديان الإلهيّة تأمر بالخيرات والمبرّات من أجل الأموات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الخيرات والمبرّات سبب في علوّ الدّرجات والعفو والمغفرة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كان رقيّ الرّوح بعد الوفاة مستحيلاً لكانت أمثال هذه الأمور عبثًا، فلماذا إذن ندعو، ونبذل الخيرات والمبرّات، ولماذا نطلب علوّ الدّرجات؟</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نصّت جميع الكتب الإلهيّة على وجوب بذل الخيرات والمبرّات للأموات وحثّتنا على أن ندعو ونصلّي ونبتهل طالبين المغفرة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برهان كافٍ على أنّ رقيّ الرّوح ممكن بعد صعودها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كانت المراتب محدودة متناهية إلاّ أنّ الكمالات غير متناهية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عالم النّاسوت يحدث التّزايد والتّناقص، وليس كذلك في الملكوت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فليس في عالم الأرواح تناقص ولا تدنٍّ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مثلها في ذلك مثل عقل الإنسان وعلمه، فهما دائمًا في ازدياد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وإنّني لآمل من فضل الحقّ أن تكونوا في رقيّ دائم سواء في عالم النّاسوت أو عالم اللاّهوت، وأن تكون روحكم في انشراح في هذا العالم وفي العالم الآخر، وأن يكون عقلكم وفكركم وإدراككم في تزايد، وأن ترتقوا في جميع مراتب الوجود، وألاّ يكون التّوقّف من نصيبكم ذلك لأنّه لا يعقب التّوقّف إلا التّدنّي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وفضلا ًعن ذلك إذا نظرنا إلى سائر الكائنات اتّضح لنا أنّها ناتجة عن تركيب العناصر المختلفة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التّركيب يتبدّل بالتّحليل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فجسم الإنسان مثلاً مركّب من عناصر متعدّدة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 هذا التّركيب ليس باقيًا إذ لا بدّ له من أن يتحلّل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تطرّق إليه التّحليل كان معنى ذلك انعدام ذلك الجسم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وبما أنّ لكلّ تركيب تحليل، إذن فلا بدّ لهذا التّركيب من العناصر المتعدّدة المختلفة من أن يرتدّ إلى التّحليل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الرّوح الإنسانيّة فليست مركّبة وليست مكوّنة من عناصر مختلفة بل إنّها مجرّدة من العناصر ومنزّهة عن عناصر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 كانت غير مركّبة من العناصر فهي حيّة وباقية في النّشأة الأبديّة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وإنّه لمن الثّابت في الفلسفة الطّبيعيّة أنّ العنصر البسيط لا ينعدم، لأنّه ليس مركّبًا من العناصر بل هو مجرّد عنها ومنزّه عن الطّبائع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 لم يكن مركّبًا من العناصر فهو إذًا لا يتحلّل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الكائنات المركّبة من العناصر فعرضة للانعدام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وهو يقولون مثلاً إنّ الذّهب لا ينعدم لأنّه بسيط وليس مركّبًا، ولمّا كان عنصرًا واحدًا وليس مركّبًا</w:t>
      </w:r>
      <w:r>
        <w:rPr>
          <w:rFonts w:ascii="Simplified Arabic" w:hAnsi="Simplified Arabic" w:cs="Simplified Arabic"/>
          <w:color w:val="000000"/>
          <w:sz w:val="32"/>
          <w:sz w:val="32"/>
          <w:szCs w:val="32"/>
          <w:u w:val="single"/>
          <w:rtl w:val="true"/>
          <w:lang w:bidi="ar-JO"/>
        </w:rPr>
        <w:t xml:space="preserve"> </w:t>
      </w:r>
      <w:r>
        <w:rPr>
          <w:rFonts w:ascii="Simplified Arabic" w:hAnsi="Simplified Arabic" w:cs="Simplified Arabic"/>
          <w:color w:val="000000"/>
          <w:sz w:val="32"/>
          <w:sz w:val="32"/>
          <w:szCs w:val="32"/>
          <w:rtl w:val="true"/>
          <w:lang w:bidi="ar-JO"/>
        </w:rPr>
        <w:t>فإنّه لا يتحلّل ولا ينعدم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 أهل الحقيقة متّفقون على أنّ كافّة الموجودات المادّيّة لو دقّقت وحقّقت لتبيّن أنّها مركّبة حتّى ولو أفتى فلاسفة الزّمان بأنّها بسيطة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ولمّا كانت الرّوح الإنسانيّة غير مركّبة من العناصر المتعدّدة وليست داخلة في نطاق المركّبات فإنّها لا تنعدم ولا تتحلّل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إذا نظرنا في الآثار المترتّبة على الوجود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فالشّيء الموجود له أثر، وأمّا المعدوم فلا أثر له على الإطلاق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واستنادًا إلى هذا المبدأ لاحظوا النّفوس المقدّسة وكيف أنّ آثارها ما زالت باقية في جميع العوالم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وكيف أنّ تأثيرها في عالم العقول والنّفوس ما زال باقيًا وثابتًا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أمثلة ذلك آثار السّيّد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فهي ما زالت ظاهرة وباهرة ممّا يدل على أنّ روح المسيح موجودة وتترتّب على وجودها هذه الآثار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 لا يمكن أن يترتّب على المعدوم أيّ أثر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فالرّوح الّتي لها كلّ هذه التّأثيرات موجودة فعلاً ولا يمكن أن تكون معدومة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وجميع الكتب السّماويّة تنطق بهذا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تأمّلوا في الكائنات الموجودة تجدوا أنّ الجماد ينتهي بالنّبات والنّبات ينتهي بالحيوان، والحيوان ينتهي بالإنسان، والإنسان أيضًا له حياة عنصريّة قصيرة الأمد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كان الإنسان يحيا هذه الأيّام القصيرة ثمّ يموت وينتهي لكان هذا العالم عبثًا باطلاً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أكرّر هذه النّقطة مرّة أخرى حتّى تلتفتوا إليها جيدًا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جميع الكائنات اللاّمتناهية صادرة عن الجماد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والنّبات أخصّ من الجماد، والحيوان أخصّ من النّبات، والإنسان أخصّ من الحيوان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فالكائنات إذن تنتهي بالإنسان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والإنسان أشرف الكائنات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كان هذا الإنسان هو الآخر يحيا في هذا العالم حياته القصيرة هذه في منتهى التّعب والمشقّة ثمّ يمضي وينعدم لكان عالم الوجود هذا محض أوهام وسراب لا نهاية لهما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من الممكن أو المعقول أن يكون هذا الكون اللاّمتناهي على هذا النّحو من العبث وعدم الجدوى؟ لا والله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كلّ طفل يدرك أن لهذا العالم اللاّمتناهي حكمة، وأنّ لهذه الكائنات العظيمة سرًّا وثمرًا، وأنّ لمصنع القدر هذا فائدة ومنفعة، وأنّ لهذه المبادئ نتيجة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وإلاّ فهي خسران في خسران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تبيّن أنّ بعد الحياة النّاسوتيّة حياة ملكوتيّة وأنّ روح الإنسان باقية والفيوضات الإلهيّة غير متناهية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المادّيّون فيسألون أين هذه الرّوح؟ فنحن لا نرى شيئًا ولا نرى روحًا ولا نسمع صوتًا ولا نشمّ رائحة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فالرّوح لا وجود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إنّها معدومة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هكذا يقول المادّيّون أمّا نحن فنقول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هذا الجماد دخل إلى عالم النّبات فنشأ ونما وفاز بالقوّة النّامية وارتقى ودخل في عالم آخر وأصبح شجرة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جهل عالم الجماد بذلك لا يقوم دليلاً على أنّ عالم النّبات غير موجود، إذ لا يمكن الحكم على انعدام عالم النّبات بأنّ الجماد لا يحسّ به، أو بأنّه ليس لديه استعداد لإدراك عالم النّبات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وهذا النّبات يدخل العالم الحيواني ويرتقي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غير أنّ الأشجار لا تحسّ بذلك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النّبات لا علم له بعالم الحيوان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وكأنّما لسان حاله يقول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أين عالم الحيوان فأنا لا أحسّ به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حين أنّ عالم الحيوان موجود فعلاً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فإنّ الحيوان لا علم له بعالم عقل الإنسان، وقد يقول وهو في عالمه الخاصّ، أين العقل؟ أين روح الإنسان؟ ولا يقوم قوله هذا دليلاً على أنّ روح الإنسان لا وجود لها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فالمرتبة الأدنى لا تدرك المرتبة الأعلى منها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مثل ذلك مثل هذا الورد الّذي ليس لديه إدراك بعالمنا، ولا يعرف أنّ هناك عالمًا إنسانيًّا أيضًا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يقول في رتبته الخاصّة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أين العالم الإنسانيّ فإنّني لا أرى ذلك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يمكن أن يتّخذ ذلك دليلاً على عدم وجود الإنسان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فإذا كان المادّيّون غير مدركين للوجود الملكوتيّ فإنّ عدم إدراكهم له لا يقوم دليلاً على انعدام الوجود الملكوتيّ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إنّ الوجود النّاسوتيّ في حدّ ذاته دليل على الوجود الملكوتيّ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الفناء في حدّ ذاته دليل على البقاء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لم يكن هناك بقاء لما كان هناك فناء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والظّلمة في حدّ ذاتها دليل على النّور، والفقر في حدّ ذاته دليل على الغنى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لم يكن هناك فقر لما كان هناك غنى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والجهل في حدّ ذاته دليل على العلم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لم يكن هناك علم لما كان هناك جهل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الجهل هو فقدان العلم، والفقر هو فقدان الغنى، والظّلمة هي انعدام النّور، والعجز هو عدم القدرة، والضّعف هو عدم الاستطاعة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وهكذا فالفناء نفسه دليل على البقاء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لم يكن الفناء لما كان البقاء، ولو لم يكن الغنى لما كان الفقر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لم يكن العلم لما كان الجهل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كان جميع النّاس فقراء لما كان هناك فقر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وإنّما يُظهر الفقر الغنى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فالفناء نفسه دليل على البقاء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وإذا لم يكن الرّوح بقاء فلماذا تحمّل أنبياء الله ومظاهره المقدّسة ما تحمّلوا من عناء ومشقّة؟ وفيمَ قبل السّيّد المسيح هذه الصّدمات والبلايا على نفسه؟ لماذا تحمّل سيّدنا محمّد كلّ هذه المصائب؟ وكيف ارتضى حضرة الباب الرّصاص يطلق على صدره المبارك؟ ولأيّ شيء تقبّل الجمال المبارك على نفسه كلّ هذا الزّجر والبلاء والحبس والعذاب؟ فما الدّاعي إلى تحمّل كلّ هذه المشقّات طالما أنّ الرّوح لا بقاء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كان من الأفضل إذن للسّيّد المسيح أن يقضي أيّامه في فرح وسرور؟ لأنّ الرّوح باقية تقبّل السّيّد المسيح كلّ هذه الآلام والمحن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ولو كان للإنسان أدنى مستوى من إدراك فإنّه لفكّر وقال لنفسه إنّ هذا العالم عالم وجود لا عالم عدم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الكائنات ترتقي على الدّوام من رتبة أدنى إلى رتبة أعلى من رتبتها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فكيف إذًا يتوقّف التّرقّي؟ ومع ذلك نرى من يقول بأنّ الرّقيّ من لوازم الوجود يقول أيضًا بانقطاع هذا الرّقي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لأنّه لا علم له بشيء على الإطلاق مثله مثل الجماد الّذي يقول إنّ عالم الإنسان لا عين له ولا أذن ولا شمّ يتذوّق به رائحة هذا الورد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والسّرّ في ذلك أنّ في عالم الجماد لا يحتوي وجود غير الوجود الجماديّ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من نقص الجماد ولا يقوم دليلاً على أنّه ليس هناك وجود غير الوجود الجماديّ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فعن الجهل يتساءل هؤلاء المادّيّون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أين عالم الأرواح؟ أين الحياة الأبديّة؟ أين الألطاف الإلهيّة الخفية؟ إننا لا نرى من ذلك شيئًا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 هؤلاء مثل الجماد إذ يقول أين الكمالات الإنسانيّة؟ أين العين؟ أين الأذن؟ وهذا من نقص الجماد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إنّني لآمل أن تزداد إحساساتكم الرّوحانيّة يومًا بعد يوم إن شاء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واعلموا علم اليقين أنّ هذه الحواس الجسمانيّة ليس لديها الاستعداد لكي تدرك العوالم الرّوحانيّة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غير أنّ قوّة الإدراك تعقل هذه العوالم، والعقل الكلّيّ الرّبانيّ يفهمها، والبصيرة الإنسانيّة تشاهدها، وأذن الرّوح تستمع إليها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هؤلاء المادّيّون فهم الّذين أشار إليهم السّيّد المسيح بقوله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لهم عيون ولكن لا يبصرون بها، ولهم آذان ولكن لا يسمعون بها، ولهم قلوب ولكن لا يدركون بها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كما قال إشعياء في الأصحاح السّادس</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أنتم تسمعون ولكنّكم لا تفقهون وأنتم تبصرون ولكنّكم لا تدركون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ويقول الله تعالى في القرآن</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صمٌّ بكمٌ عميٌ فهم لا يعقلون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وكيف يتسنّى للعين العمياء أن تشاهد الشّمس، أو للأذن الصمّاء أن تستمع إلى اللّحن الجميل؟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مصداقًا لقول سنائي الحكيم</w:t>
      </w:r>
      <w:r>
        <w:rPr>
          <w:rFonts w:cs="Simplified Arabic" w:ascii="Simplified Arabic" w:hAnsi="Simplified Arabic"/>
          <w:color w:val="000000"/>
          <w:sz w:val="32"/>
          <w:szCs w:val="32"/>
          <w:rtl w:val="true"/>
          <w:lang w:bidi="ar-JO"/>
        </w:rPr>
        <w:t>:</w:t>
      </w:r>
    </w:p>
    <w:p>
      <w:pPr>
        <w:pStyle w:val="Normal"/>
        <w:bidi w:val="1"/>
        <w:ind w:left="0" w:right="0" w:hanging="0"/>
        <w:jc w:val="both"/>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موقع الرّمز والسّرّ الإلهيّ عند الجاهلين</w:t>
      </w:r>
    </w:p>
    <w:p>
      <w:pPr>
        <w:pStyle w:val="Normal"/>
        <w:bidi w:val="1"/>
        <w:spacing w:before="0" w:after="280"/>
        <w:ind w:left="1440" w:right="0" w:firstLine="720"/>
        <w:jc w:val="both"/>
        <w:rPr/>
      </w:pPr>
      <w:r>
        <w:rPr>
          <w:rFonts w:ascii="Simplified Arabic" w:hAnsi="Simplified Arabic" w:cs="Simplified Arabic"/>
          <w:color w:val="000000"/>
          <w:sz w:val="32"/>
          <w:sz w:val="32"/>
          <w:szCs w:val="32"/>
          <w:rtl w:val="true"/>
          <w:lang w:bidi="ar-JO"/>
        </w:rPr>
        <w:t>كعزف العود عند الأصمّ والمرآة عند الأعمى</w:t>
      </w:r>
      <w:r>
        <w:rPr>
          <w:rFonts w:cs="Simplified Arabic" w:ascii="Simplified Arabic" w:hAnsi="Simplified Arabic"/>
          <w:color w:val="000000"/>
          <w:sz w:val="32"/>
          <w:szCs w:val="32"/>
          <w:vertAlign w:val="superscript"/>
          <w:rtl w:val="true"/>
          <w:lang w:bidi="ar-JO"/>
        </w:rPr>
        <w:t>(</w:t>
      </w:r>
      <w:r>
        <w:rPr>
          <w:rStyle w:val="FootnoteCharacters"/>
          <w:rStyle w:val="FootnoteAnchor"/>
          <w:rFonts w:cs="Simplified Arabic" w:ascii="Simplified Arabic" w:hAnsi="Simplified Arabic"/>
          <w:color w:val="000000"/>
          <w:sz w:val="32"/>
          <w:szCs w:val="32"/>
          <w:rtl w:val="true"/>
          <w:lang w:bidi="ar-JO"/>
        </w:rPr>
        <w:footnoteReference w:id="2"/>
      </w:r>
      <w:r>
        <w:rPr>
          <w:rFonts w:cs="Simplified Arabic" w:ascii="Simplified Arabic" w:hAnsi="Simplified Arabic"/>
          <w:color w:val="000000"/>
          <w:sz w:val="32"/>
          <w:szCs w:val="32"/>
          <w:vertAlign w:val="superscript"/>
          <w:rtl w:val="true"/>
          <w:lang w:bidi="ar-JO"/>
        </w:rPr>
        <w:t>)</w:t>
      </w:r>
      <w:r>
        <w:rPr>
          <w:rFonts w:cs="Simplified Arabic" w:ascii="Simplified Arabic" w:hAnsi="Simplified Arabic"/>
          <w:color w:val="000000"/>
          <w:sz w:val="32"/>
          <w:szCs w:val="32"/>
          <w:rtl w:val="true"/>
          <w:lang w:bidi="ar-JO"/>
        </w:rPr>
        <w:t xml:space="preserve"> </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pPr>
      <w:r>
        <w:rPr>
          <w:rStyle w:val="FootnoteCharacters"/>
        </w:rPr>
        <w:footnoteRef/>
      </w:r>
      <w:r>
        <w:rPr>
          <w:rFonts w:cs="Simplified Arabic"/>
          <w:sz w:val="22"/>
          <w:szCs w:val="22"/>
          <w:rtl w:val="true"/>
        </w:rPr>
        <w:tab/>
        <w:t>(</w:t>
      </w:r>
      <w:r>
        <w:rPr>
          <w:rFonts w:cs="Simplified Arabic"/>
          <w:sz w:val="22"/>
          <w:szCs w:val="22"/>
        </w:rPr>
        <w:t>1</w:t>
      </w:r>
      <w:r>
        <w:rPr>
          <w:rFonts w:cs="Simplified Arabic"/>
          <w:sz w:val="22"/>
          <w:szCs w:val="22"/>
          <w:rtl w:val="true"/>
        </w:rPr>
        <w:t>)</w:t>
      </w:r>
      <w:r>
        <w:rPr>
          <w:rFonts w:cs="Simplified Arabic"/>
          <w:sz w:val="22"/>
          <w:szCs w:val="22"/>
          <w:rtl w:val="true"/>
        </w:rPr>
        <w:tab/>
      </w:r>
      <w:r>
        <w:rPr>
          <w:rFonts w:cs="Simplified Arabic"/>
          <w:sz w:val="22"/>
          <w:sz w:val="22"/>
          <w:szCs w:val="22"/>
          <w:rtl w:val="true"/>
        </w:rPr>
        <w:t>ترجمة</w:t>
      </w:r>
      <w:r>
        <w:rPr>
          <w:sz w:val="22"/>
          <w:sz w:val="22"/>
          <w:szCs w:val="22"/>
          <w:rtl w:val="true"/>
        </w:rPr>
        <w:t xml:space="preserve"> </w:t>
      </w:r>
      <w:r>
        <w:rPr>
          <w:rFonts w:cs="Simplified Arabic"/>
          <w:sz w:val="22"/>
          <w:sz w:val="22"/>
          <w:szCs w:val="22"/>
          <w:rtl w:val="true"/>
        </w:rPr>
        <w:t>تقريبيّة</w:t>
      </w:r>
      <w:r>
        <w:rPr>
          <w:sz w:val="22"/>
          <w:sz w:val="22"/>
          <w:szCs w:val="22"/>
          <w:rtl w:val="true"/>
        </w:rPr>
        <w:t xml:space="preserve"> </w:t>
      </w:r>
      <w:r>
        <w:rPr>
          <w:rFonts w:cs="Simplified Arabic"/>
          <w:sz w:val="22"/>
          <w:sz w:val="22"/>
          <w:szCs w:val="22"/>
          <w:rtl w:val="true"/>
        </w:rPr>
        <w:t>لهذا</w:t>
      </w:r>
      <w:r>
        <w:rPr>
          <w:sz w:val="22"/>
          <w:sz w:val="22"/>
          <w:szCs w:val="22"/>
          <w:rtl w:val="true"/>
        </w:rPr>
        <w:t xml:space="preserve"> </w:t>
      </w:r>
      <w:r>
        <w:rPr>
          <w:rFonts w:cs="Simplified Arabic"/>
          <w:sz w:val="22"/>
          <w:sz w:val="22"/>
          <w:szCs w:val="22"/>
          <w:rtl w:val="true"/>
        </w:rPr>
        <w:t>البيت</w:t>
      </w:r>
      <w:r>
        <w:rPr>
          <w:sz w:val="22"/>
          <w:sz w:val="22"/>
          <w:szCs w:val="22"/>
          <w:rtl w:val="true"/>
        </w:rPr>
        <w:t xml:space="preserve"> </w:t>
      </w:r>
      <w:r>
        <w:rPr>
          <w:rFonts w:cs="Simplified Arabic"/>
          <w:sz w:val="22"/>
          <w:sz w:val="22"/>
          <w:szCs w:val="22"/>
          <w:rtl w:val="true"/>
        </w:rPr>
        <w:t>الفارسيّ</w:t>
      </w:r>
      <w:r>
        <w:rPr>
          <w:rFonts w:cs="Simplified Arabic"/>
          <w:sz w:val="22"/>
          <w:szCs w:val="22"/>
          <w:rtl w:val="true"/>
        </w:rPr>
        <w:t>:</w:t>
      </w:r>
    </w:p>
    <w:p>
      <w:pPr>
        <w:pStyle w:val="PlainText"/>
        <w:bidi w:val="1"/>
        <w:ind w:left="1440" w:right="0" w:hanging="0"/>
        <w:jc w:val="left"/>
        <w:rPr>
          <w:rFonts w:ascii="Naskh MT for Bosch School" w:hAnsi="Naskh MT for Bosch School"/>
          <w:sz w:val="22"/>
          <w:szCs w:val="22"/>
        </w:rPr>
      </w:pPr>
      <w:r>
        <w:rPr>
          <w:rFonts w:ascii="Naskh MT for Bosch School" w:hAnsi="Naskh MT for Bosch School" w:eastAsia="MS Mincho;ＭＳ 明朝" w:cs="Simplified Arabic"/>
          <w:sz w:val="22"/>
          <w:sz w:val="22"/>
          <w:szCs w:val="22"/>
          <w:rtl w:val="true"/>
        </w:rPr>
        <w:tab/>
        <w:t>نکته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رمز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الهی</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پيش</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نادانان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چنان</w:t>
      </w:r>
    </w:p>
    <w:p>
      <w:pPr>
        <w:pStyle w:val="Footnote"/>
        <w:bidi w:val="1"/>
        <w:ind w:left="2160" w:right="0" w:firstLine="720"/>
        <w:jc w:val="left"/>
        <w:rPr/>
      </w:pPr>
      <w:r>
        <w:rPr>
          <w:rFonts w:ascii="Naskh MT for Bosch School" w:hAnsi="Naskh MT for Bosch School" w:eastAsia="MS Mincho;ＭＳ 明朝" w:cs="Simplified Arabic"/>
          <w:sz w:val="22"/>
          <w:sz w:val="22"/>
          <w:szCs w:val="22"/>
          <w:rtl w:val="true"/>
        </w:rPr>
        <w:tab/>
        <w:t>پيش</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کر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بربط</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سرا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پيش</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کور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آئينه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دار</w:t>
      </w:r>
      <w:r>
        <w:rPr>
          <w:rFonts w:cs="Simplified Arabic"/>
          <w:sz w:val="22"/>
          <w:szCs w:val="22"/>
          <w:rtl w:val="true"/>
        </w:rPr>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