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اعضاء محفل روحانی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لوح احبای طهران نازل قوله الاحلی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>: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نامه شما رسید و از اینکه در فکر انتخاب عمومی بودید روح و ریحان حاصل گردید و ترتیب انتخاب عمومی این است عدد اعضاء را معین کرد که باید از نه کمتر نباشد و بحسب اقتضای زمان و مکان نه دیگر بر آن افزوده شود بعد باید جمیع احبای طهران را اعلان نمایند که انتخاب عمومی است هر چند نفر یعنی هر صد و یا پنجاه شخص نفسی را انتخاب کنند هر کس را بخواهند واین نفوس منتخبه اعضای محفل روحانی را انتخاب نمایند خواه در انتخاب اول و خواه در انتخاب ثانی اکثریت را منظور داشته باشند این اصول انتخاب است که اعضای محفل روحانی منتخب منتخبین هستند و علیکم البهاء الابهی ع ع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>"</w:t>
      </w:r>
    </w:p>
    <w:p>
      <w:pPr>
        <w:pStyle w:val="Normal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b/>
        <w:b/>
        <w:bCs/>
        <w:color w:val="0000FF"/>
        <w:rtl w:val="true"/>
      </w:rPr>
      <w:t>لوح در</w:t>
    </w:r>
    <w:r>
      <w:rPr>
        <w:rFonts w:ascii="Traditional Arabic" w:hAnsi="Traditional Arabic" w:cs="Traditional Arabic"/>
        <w:b/>
        <w:b/>
        <w:bCs/>
        <w:color w:val="0000FF"/>
        <w:rtl w:val="true"/>
      </w:rPr>
      <w:t>با</w:t>
    </w:r>
    <w:r>
      <w:rPr>
        <w:rFonts w:ascii="Traditional Arabic" w:hAnsi="Traditional Arabic" w:cs="Traditional Arabic"/>
        <w:b/>
        <w:b/>
        <w:bCs/>
        <w:color w:val="0000FF"/>
        <w:rtl w:val="true"/>
      </w:rPr>
      <w:t xml:space="preserve">ره اعضاء محفل روحانى </w:t>
    </w:r>
    <w:r>
      <w:rPr>
        <w:rFonts w:cs="Traditional Arabic" w:ascii="Traditional Arabic" w:hAnsi="Traditional Arabic"/>
        <w:b/>
        <w:bCs/>
        <w:color w:val="0000FF"/>
        <w:rtl w:val="true"/>
      </w:rPr>
      <w:t xml:space="preserve">- </w:t>
    </w:r>
    <w:r>
      <w:rPr>
        <w:rFonts w:ascii="Traditional Arabic" w:hAnsi="Traditional Arabic" w:cs="Traditional Arabic"/>
        <w:b/>
        <w:b/>
        <w:bCs/>
        <w:color w:val="0000FF"/>
        <w:rtl w:val="true"/>
      </w:rPr>
      <w:t>اثر حضرت عبدالبهاء – بر اساس نسخه مائده آسمانى جلد</w:t>
    </w:r>
    <w:r>
      <w:rPr>
        <w:rFonts w:cs="Traditional Arabic" w:ascii="Traditional Arabic" w:hAnsi="Traditional Arabic"/>
        <w:b/>
        <w:bCs/>
        <w:color w:val="0000FF"/>
      </w:rPr>
      <w:t>5</w:t>
    </w:r>
    <w:r>
      <w:rPr>
        <w:rFonts w:cs="Traditional Arabic" w:ascii="Traditional Arabic" w:hAnsi="Traditional Arabic"/>
        <w:b/>
        <w:bCs/>
        <w:color w:val="0000FF"/>
        <w:rtl w:val="true"/>
      </w:rPr>
      <w:t xml:space="preserve"> </w:t>
    </w:r>
    <w:r>
      <w:rPr>
        <w:rFonts w:ascii="Traditional Arabic" w:hAnsi="Traditional Arabic" w:cs="Traditional Arabic"/>
        <w:b/>
        <w:b/>
        <w:bCs/>
        <w:color w:val="0000FF"/>
        <w:rtl w:val="true"/>
      </w:rPr>
      <w:t xml:space="preserve">ص </w:t>
    </w:r>
    <w:r>
      <w:rPr>
        <w:rFonts w:cs="Traditional Arabic" w:ascii="Traditional Arabic" w:hAnsi="Traditional Arabic"/>
        <w:b/>
        <w:bCs/>
        <w:color w:val="0000FF"/>
      </w:rPr>
      <w:t>22</w:t>
    </w:r>
    <w:r>
      <w:rPr>
        <w:rFonts w:cs="Traditional Arabic" w:ascii="Traditional Arabic" w:hAnsi="Traditional Arabic"/>
        <w:b/>
        <w:bCs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