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sz w:val="44"/>
          <w:szCs w:val="44"/>
          <w:lang w:bidi="ar-JO"/>
        </w:rPr>
      </w:pPr>
      <w:r>
        <w:rPr>
          <w:rFonts w:cs="Traditional Arabic" w:ascii="Traditional Arabic" w:hAnsi="Traditional Arabic"/>
          <w:sz w:val="44"/>
          <w:szCs w:val="44"/>
          <w:rtl w:val="true"/>
          <w:lang w:bidi="ar-JO"/>
        </w:rPr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eastAsia="MS Mincho;ＭＳ 明朝" w:cs="Traditional Arabic"/>
          <w:sz w:val="44"/>
          <w:szCs w:val="44"/>
          <w:lang w:bidi="ar-JO"/>
        </w:rPr>
      </w:pPr>
      <w:r>
        <w:rPr>
          <w:rFonts w:eastAsia="MS Mincho;ＭＳ 明朝" w:cs="Traditional Arabic" w:ascii="Traditional Arabic" w:hAnsi="Traditional Arabic"/>
          <w:sz w:val="44"/>
          <w:szCs w:val="44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4"/>
          <w:szCs w:val="44"/>
        </w:rPr>
      </w:pPr>
      <w:r>
        <w:rPr>
          <w:rFonts w:eastAsia="MS Mincho;ＭＳ 明朝" w:cs="Traditional Arabic" w:ascii="Traditional Arabic" w:hAnsi="Traditional Arabic"/>
          <w:sz w:val="44"/>
          <w:szCs w:val="44"/>
          <w:rtl w:val="true"/>
        </w:rPr>
        <w:t xml:space="preserve">" </w:t>
      </w:r>
      <w:r>
        <w:rPr>
          <w:rFonts w:ascii="Traditional Arabic" w:hAnsi="Traditional Arabic" w:eastAsia="MS Mincho;ＭＳ 明朝" w:cs="Traditional Arabic"/>
          <w:sz w:val="44"/>
          <w:sz w:val="44"/>
          <w:szCs w:val="44"/>
          <w:rtl w:val="true"/>
        </w:rPr>
        <w:t xml:space="preserve">الفرق بین المعاد والرّجعة المعاد أمر عیني والرّجعة أمر علمي من حیث الشّئون والآثار یدلّ علی الوحدة الحقیقیة بین الأبرار </w:t>
      </w:r>
      <w:r>
        <w:rPr>
          <w:rFonts w:eastAsia="MS Mincho;ＭＳ 明朝" w:cs="Traditional Arabic" w:ascii="Traditional Arabic" w:hAnsi="Traditional Arabic"/>
          <w:sz w:val="44"/>
          <w:szCs w:val="44"/>
          <w:rtl w:val="true"/>
        </w:rPr>
        <w:t>".</w:t>
      </w:r>
      <w:r>
        <w:rPr>
          <w:rFonts w:eastAsia="MS Mincho;ＭＳ 明朝" w:cs="Traditional Arabic" w:ascii="Traditional Arabic" w:hAnsi="Traditional Arabic"/>
          <w:sz w:val="44"/>
          <w:szCs w:val="44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color w:val="FF0000"/>
          <w:sz w:val="44"/>
          <w:szCs w:val="44"/>
          <w:lang w:bidi="ar-JO"/>
        </w:rPr>
      </w:pPr>
      <w:r>
        <w:rPr>
          <w:rFonts w:eastAsia="MS Mincho;ＭＳ 明朝" w:cs="Traditional Arabic" w:ascii="Traditional Arabic" w:hAnsi="Traditional Arabic"/>
          <w:color w:val="FF0000"/>
          <w:sz w:val="44"/>
          <w:szCs w:val="44"/>
          <w:rtl w:val="true"/>
        </w:rPr>
        <w:t>(</w:t>
      </w:r>
      <w:r>
        <w:rPr>
          <w:rFonts w:ascii="Traditional Arabic" w:hAnsi="Traditional Arabic" w:eastAsia="MS Mincho;ＭＳ 明朝" w:cs="Traditional Arabic"/>
          <w:color w:val="FF0000"/>
          <w:sz w:val="44"/>
          <w:sz w:val="44"/>
          <w:szCs w:val="44"/>
          <w:rtl w:val="true"/>
        </w:rPr>
        <w:t>عبدالبهاء عبّاس</w:t>
      </w:r>
      <w:r>
        <w:rPr>
          <w:rFonts w:eastAsia="MS Mincho;ＭＳ 明朝" w:cs="Traditional Arabic" w:ascii="Traditional Arabic" w:hAnsi="Traditional Arabic"/>
          <w:color w:val="FF0000"/>
          <w:sz w:val="44"/>
          <w:szCs w:val="44"/>
          <w:rtl w:val="true"/>
        </w:rPr>
        <w:t xml:space="preserve">)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FF"/>
        <w:sz w:val="28"/>
        <w:sz w:val="28"/>
        <w:szCs w:val="28"/>
        <w:rtl w:val="true"/>
        <w:lang w:bidi="ar-JO"/>
      </w:rPr>
      <w:t>المعاد والرجعة</w:t>
    </w:r>
    <w:r>
      <w:rPr>
        <w:rFonts w:ascii="Traditional Arabic" w:hAnsi="Traditional Arabic" w:cs="Traditional Arabic"/>
        <w:color w:val="0000FF"/>
        <w:sz w:val="28"/>
        <w:sz w:val="28"/>
        <w:szCs w:val="28"/>
        <w:rtl w:val="true"/>
      </w:rPr>
      <w:t xml:space="preserve"> – آثار حضرة عبدالبهاء – مائده آسماني، المجلد </w:t>
    </w:r>
    <w:r>
      <w:rPr>
        <w:rFonts w:cs="Traditional Arabic" w:ascii="Traditional Arabic" w:hAnsi="Traditional Arabic"/>
        <w:color w:val="0000FF"/>
        <w:sz w:val="28"/>
        <w:szCs w:val="28"/>
      </w:rPr>
      <w:t>9</w:t>
    </w:r>
    <w:r>
      <w:rPr>
        <w:rFonts w:ascii="Traditional Arabic" w:hAnsi="Traditional Arabic" w:cs="Traditional Arabic"/>
        <w:color w:val="0000FF"/>
        <w:sz w:val="28"/>
        <w:sz w:val="28"/>
        <w:szCs w:val="28"/>
        <w:rtl w:val="true"/>
      </w:rPr>
      <w:t xml:space="preserve">، الصفحة   </w:t>
    </w:r>
    <w:r>
      <w:rPr>
        <w:rFonts w:cs="Traditional Arabic" w:ascii="Traditional Arabic" w:hAnsi="Traditional Arabic"/>
        <w:color w:val="0000FF"/>
        <w:sz w:val="28"/>
        <w:szCs w:val="28"/>
      </w:rPr>
      <w:t>28</w:t>
    </w:r>
    <w:r>
      <w:rPr>
        <w:rFonts w:cs="Traditional Arabic" w:ascii="Traditional Arabic" w:hAnsi="Traditional Arabic"/>
        <w:color w:val="0000FF"/>
        <w:sz w:val="28"/>
        <w:szCs w:val="28"/>
        <w:rtl w:val="true"/>
      </w:rPr>
      <w:t xml:space="preserve"> 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