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باره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٢٤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پیر یوحنای حواری در لوح مرحوم ناطق نیسانی حضرت عبدالبهاء میفرمایند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نفوس مبارکه اشخاص خمسه سئوال نموده بودی یکی از آنها حضرت متصاعد الی الله حاجی میرزا محمد تقی افنان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لوح احبای بادکوبه آقا موسی و آقا کیشی فرموده‌اند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.....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ولی در این ظهور اعظم دو برابر آنانند در این دور بدیع هیجده حروف حی و ذات مقدس حضرت اعلی که جمعا نوزده نفر میگردد و همچنین پنج نفس مقدس مبارک دیگر که حال ذکر ایشان حکمت اقتضا ننماید بعدا ظاهر و آشکار شود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مقصود از </w:t>
    </w:r>
    <w:r>
      <w:rPr>
        <w:rFonts w:cs="Traditional Arabic" w:ascii="Traditional Arabic" w:hAnsi="Traditional Arabic"/>
        <w:b/>
        <w:bCs/>
        <w:color w:val="0000CC"/>
      </w:rPr>
      <w:t>24</w:t>
    </w:r>
    <w:r>
      <w:rPr>
        <w:rFonts w:cs="Traditional Arabic" w:ascii="Traditional Arabic" w:hAnsi="Traditional Arabic"/>
        <w:b/>
        <w:bCs/>
        <w:color w:val="0000CC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rtl w:val="true"/>
      </w:rPr>
      <w:t>پیركه در كتاب يوحنا مذكوراست</w:t>
    </w: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 </w:t>
    </w:r>
    <w:r>
      <w:rPr>
        <w:rFonts w:cs="Traditional Arabic" w:ascii="Traditional Arabic" w:hAnsi="Traditional Arabic"/>
        <w:b/>
        <w:bCs/>
        <w:color w:val="0000CC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CC"/>
      </w:rPr>
      <w:t>2</w:t>
    </w:r>
    <w:r>
      <w:rPr>
        <w:rFonts w:cs="Traditional Arabic" w:ascii="Traditional Arabic" w:hAnsi="Traditional Arabic"/>
        <w:b/>
        <w:bCs/>
        <w:color w:val="0000CC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CC"/>
      </w:rPr>
      <w:t>50</w:t>
    </w:r>
    <w:r>
      <w:rPr>
        <w:rFonts w:cs="Traditional Arabic" w:ascii="Traditional Arabic" w:hAnsi="Traditional Arabic"/>
        <w:b/>
        <w:bCs/>
        <w:color w:val="0000CC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