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pPr>
      <w:r>
        <w:rPr>
          <w:rFonts w:ascii="Traditional Arabic" w:hAnsi="Traditional Arabic" w:eastAsia="MS Mincho;ＭＳ 明朝" w:cs="Traditional Arabic"/>
          <w:sz w:val="44"/>
          <w:sz w:val="44"/>
          <w:szCs w:val="44"/>
          <w:rtl w:val="true"/>
        </w:rPr>
        <w:t xml:space="preserve">وأمّا </w:t>
      </w:r>
      <w:r>
        <w:rPr>
          <w:rFonts w:ascii="Traditional Arabic" w:hAnsi="Traditional Arabic" w:cs="Traditional Arabic"/>
          <w:color w:val="006600"/>
          <w:sz w:val="44"/>
          <w:sz w:val="44"/>
          <w:szCs w:val="44"/>
          <w:rtl w:val="true"/>
        </w:rPr>
        <w:t>﴿</w:t>
      </w:r>
      <w:r>
        <w:rPr>
          <w:rFonts w:ascii="Traditional Arabic" w:hAnsi="Traditional Arabic" w:eastAsia="MS Mincho;ＭＳ 明朝" w:cs="Traditional Arabic"/>
          <w:color w:val="006600"/>
          <w:sz w:val="44"/>
          <w:sz w:val="44"/>
          <w:szCs w:val="44"/>
          <w:rtl w:val="true"/>
        </w:rPr>
        <w:t>خَلَقَ الجَانَ مِنْ مَارِجٍ مِنْ نَارٍ</w:t>
      </w:r>
      <w:r>
        <w:rPr>
          <w:rFonts w:ascii="Traditional Arabic" w:hAnsi="Traditional Arabic" w:cs="Traditional Arabic"/>
          <w:color w:val="006600"/>
          <w:sz w:val="44"/>
          <w:sz w:val="44"/>
          <w:szCs w:val="44"/>
          <w:rtl w:val="true"/>
        </w:rPr>
        <w:t>﴾</w:t>
      </w:r>
      <w:r>
        <w:rPr>
          <w:rStyle w:val="FootnoteCharacters"/>
          <w:rStyle w:val="FootnoteAnchor"/>
          <w:rFonts w:ascii="Traditional Arabic" w:hAnsi="Traditional Arabic" w:cs="Traditional Arabic"/>
          <w:color w:val="FF0000"/>
          <w:sz w:val="44"/>
          <w:sz w:val="44"/>
          <w:szCs w:val="44"/>
          <w:rtl w:val="true"/>
        </w:rPr>
        <w:footnoteReference w:id="2"/>
      </w:r>
      <w:r>
        <w:rPr>
          <w:rFonts w:ascii="Traditional Arabic" w:hAnsi="Traditional Arabic" w:eastAsia="MS Mincho;ＭＳ 明朝" w:cs="Traditional Arabic"/>
          <w:sz w:val="44"/>
          <w:sz w:val="44"/>
          <w:szCs w:val="44"/>
          <w:rtl w:val="true"/>
        </w:rPr>
        <w:t xml:space="preserve"> فهذا العنصر النّاري لا يراه الأبصار بل خفي عن الأنظار وظاهر من حيث أنّ النّفوس المستورة تحت الأستار سواء كانوا من الأبرار أم من الأشرار طينتهم من مارج من نار الّتي هي عنصر مخفي عن الأنظار أي أمرهم مبهم وحقيقتهم مستورة عن أهل الآفاق</w:t>
      </w:r>
      <w:r>
        <w:rPr>
          <w:rFonts w:eastAsia="MS Mincho;ＭＳ 明朝" w:cs="Traditional Arabic" w:ascii="Traditional Arabic" w:hAnsi="Traditional Arabic"/>
          <w:sz w:val="44"/>
          <w:szCs w:val="44"/>
          <w:rtl w:val="true"/>
        </w:rPr>
        <w:t xml:space="preserve">.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 xml:space="preserve">وأمّا </w:t>
      </w:r>
      <w:r>
        <w:rPr>
          <w:rFonts w:ascii="Traditional Arabic" w:hAnsi="Traditional Arabic" w:cs="Traditional Arabic"/>
          <w:color w:val="006600"/>
          <w:sz w:val="44"/>
          <w:sz w:val="44"/>
          <w:szCs w:val="44"/>
          <w:rtl w:val="true"/>
        </w:rPr>
        <w:t>﴿</w:t>
      </w:r>
      <w:r>
        <w:rPr>
          <w:rFonts w:ascii="Traditional Arabic" w:hAnsi="Traditional Arabic" w:eastAsia="MS Mincho;ＭＳ 明朝" w:cs="Traditional Arabic"/>
          <w:color w:val="006600"/>
          <w:sz w:val="44"/>
          <w:sz w:val="44"/>
          <w:szCs w:val="44"/>
          <w:rtl w:val="true"/>
        </w:rPr>
        <w:t>خَلَقَ الإِنْسَانَ مِنْ صَلْصَالٍ كَالفَخَّارِ</w:t>
      </w:r>
      <w:r>
        <w:rPr>
          <w:rFonts w:ascii="Traditional Arabic" w:hAnsi="Traditional Arabic" w:cs="Traditional Arabic"/>
          <w:color w:val="006600"/>
          <w:sz w:val="44"/>
          <w:sz w:val="44"/>
          <w:szCs w:val="44"/>
          <w:rtl w:val="true"/>
        </w:rPr>
        <w:t>﴾</w:t>
      </w:r>
      <w:r>
        <w:rPr>
          <w:rStyle w:val="FootnoteCharacters"/>
          <w:rStyle w:val="FootnoteAnchor"/>
          <w:rFonts w:ascii="Traditional Arabic" w:hAnsi="Traditional Arabic" w:cs="Traditional Arabic"/>
          <w:color w:val="FF0000"/>
          <w:sz w:val="44"/>
          <w:sz w:val="44"/>
          <w:szCs w:val="44"/>
          <w:rtl w:val="true"/>
        </w:rPr>
        <w:footnoteReference w:id="3"/>
      </w:r>
      <w:r>
        <w:rPr>
          <w:rFonts w:ascii="Traditional Arabic" w:hAnsi="Traditional Arabic" w:eastAsia="MS Mincho;ＭＳ 明朝" w:cs="Traditional Arabic"/>
          <w:sz w:val="44"/>
          <w:sz w:val="44"/>
          <w:szCs w:val="44"/>
          <w:rtl w:val="true"/>
        </w:rPr>
        <w:t xml:space="preserve"> أراد به النّفوس المنجذبة بنفحات الله المشتعلة بنار محبّة الله باطنهم عين ظاهرهم سرّهم عين علانيتهم فهم خلاصة الكائنات فالصلصال الصّافي التّراب هو خلاصة الحماء المسنون كثير البركات منبت رياحين معرفة الله وحديقة أوراد محبّة الله</w:t>
      </w:r>
      <w:r>
        <w:rPr>
          <w:rFonts w:eastAsia="MS Mincho;ＭＳ 明朝" w:cs="Traditional Arabic" w:ascii="Traditional Arabic" w:hAnsi="Traditional Arabic"/>
          <w:sz w:val="44"/>
          <w:szCs w:val="44"/>
          <w:rtl w:val="true"/>
        </w:rPr>
        <w:t xml:space="preserve">.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 xml:space="preserve">وأمّا </w:t>
      </w:r>
      <w:r>
        <w:rPr>
          <w:rFonts w:ascii="Traditional Arabic" w:hAnsi="Traditional Arabic" w:cs="Traditional Arabic"/>
          <w:color w:val="006600"/>
          <w:sz w:val="44"/>
          <w:sz w:val="44"/>
          <w:szCs w:val="44"/>
          <w:rtl w:val="true"/>
        </w:rPr>
        <w:t>﴿</w:t>
      </w:r>
      <w:r>
        <w:rPr>
          <w:rFonts w:ascii="Traditional Arabic" w:hAnsi="Traditional Arabic" w:eastAsia="MS Mincho;ＭＳ 明朝" w:cs="Traditional Arabic"/>
          <w:color w:val="006600"/>
          <w:sz w:val="44"/>
          <w:sz w:val="44"/>
          <w:szCs w:val="44"/>
          <w:rtl w:val="true"/>
        </w:rPr>
        <w:t>المَلَائِكَةِ رُسُلاً أُوْلِي أَجْنِحَةٍ مَثَنَى وَثُلَاثَ وَرُبَاعَ</w:t>
      </w:r>
      <w:r>
        <w:rPr>
          <w:rFonts w:ascii="Traditional Arabic" w:hAnsi="Traditional Arabic" w:cs="Traditional Arabic"/>
          <w:color w:val="006600"/>
          <w:sz w:val="44"/>
          <w:sz w:val="44"/>
          <w:szCs w:val="44"/>
          <w:rtl w:val="true"/>
        </w:rPr>
        <w:t>﴾</w:t>
      </w:r>
      <w:r>
        <w:rPr>
          <w:rStyle w:val="FootnoteCharacters"/>
          <w:rStyle w:val="FootnoteAnchor"/>
          <w:rFonts w:ascii="Traditional Arabic" w:hAnsi="Traditional Arabic" w:cs="Traditional Arabic"/>
          <w:color w:val="FF0000"/>
          <w:sz w:val="44"/>
          <w:sz w:val="44"/>
          <w:szCs w:val="44"/>
          <w:rtl w:val="true"/>
        </w:rPr>
        <w:footnoteReference w:id="4"/>
      </w:r>
      <w:r>
        <w:rPr>
          <w:rFonts w:ascii="Traditional Arabic" w:hAnsi="Traditional Arabic" w:cs="Traditional Arabic"/>
          <w:color w:val="006600"/>
          <w:sz w:val="44"/>
          <w:sz w:val="44"/>
          <w:szCs w:val="44"/>
          <w:rtl w:val="true"/>
        </w:rPr>
        <w:t xml:space="preserve"> </w:t>
      </w:r>
      <w:r>
        <w:rPr>
          <w:rFonts w:ascii="Traditional Arabic" w:hAnsi="Traditional Arabic" w:eastAsia="MS Mincho;ＭＳ 明朝" w:cs="Traditional Arabic"/>
          <w:sz w:val="44"/>
          <w:sz w:val="44"/>
          <w:szCs w:val="44"/>
          <w:rtl w:val="true"/>
        </w:rPr>
        <w:t>المراد من الأجنحة قوي التّأئيد والتّوفيق لأنّ بها يتعارج الإنسان إلى أعلى معارج العرفان ويطير إلى بحبوحة جنّة الرّضوان بسرعة لا يخطر ببال الإنسان والمراد من الملائكة الحقائق المقدّسة الّتي استنبئت عن مواهب ربّها وتنزّهت عن النّقائص والرّذائل وتقدّست عن كلّ الشّوائب واكتسبت جميع الفضائل وأطاعت ربّها بجميع الوسائل لَا يَسْبِقُونَهُ بِالقَولِ وَهُمْ بِأَمْرِهِ يَعْمَلُونَ</w:t>
      </w:r>
      <w:r>
        <w:rPr>
          <w:rFonts w:eastAsia="MS Mincho;ＭＳ 明朝" w:cs="Traditional Arabic" w:ascii="Traditional Arabic" w:hAnsi="Traditional Arabic"/>
          <w:sz w:val="44"/>
          <w:szCs w:val="44"/>
          <w:rtl w:val="true"/>
        </w:rPr>
        <w:t xml:space="preserve">.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 xml:space="preserve">وأمّا الإزدواج المؤقّت حرّمه الله في هذا الكور المقدّس ومنع النّفوس عن الهوى حتّى يرتدوا برداء التّقوى وهو التّنزيه والتّقديس بين الملأ الأعلى </w:t>
      </w:r>
      <w:r>
        <w:rPr>
          <w:rFonts w:eastAsia="MS Mincho;ＭＳ 明朝" w:cs="Traditional Arabic" w:ascii="Traditional Arabic" w:hAnsi="Traditional Arabic"/>
          <w:sz w:val="44"/>
          <w:szCs w:val="44"/>
          <w:highlight w:val="yellow"/>
          <w:rtl w:val="true"/>
        </w:rPr>
        <w:t>....</w:t>
      </w:r>
      <w:r>
        <w:rPr>
          <w:rFonts w:eastAsia="MS Mincho;ＭＳ 明朝" w:cs="Traditional Arabic" w:ascii="Traditional Arabic" w:hAnsi="Traditional Arabic"/>
          <w:sz w:val="44"/>
          <w:szCs w:val="44"/>
          <w:rtl w:val="true"/>
        </w:rPr>
        <w:t xml:space="preserve"> </w:t>
      </w:r>
      <w:r>
        <w:rPr>
          <w:rFonts w:ascii="Traditional Arabic" w:hAnsi="Traditional Arabic" w:eastAsia="MS Mincho;ＭＳ 明朝" w:cs="Traditional Arabic"/>
          <w:sz w:val="44"/>
          <w:sz w:val="44"/>
          <w:szCs w:val="44"/>
          <w:rtl w:val="true"/>
        </w:rPr>
        <w:t xml:space="preserve">الخ     </w:t>
      </w:r>
      <w:r>
        <w:rPr>
          <w:rFonts w:eastAsia="MS Mincho;ＭＳ 明朝" w:cs="Traditional Arabic" w:ascii="Traditional Arabic" w:hAnsi="Traditional Arabic"/>
          <w:color w:val="FF0000"/>
          <w:sz w:val="44"/>
          <w:szCs w:val="44"/>
          <w:rtl w:val="true"/>
        </w:rPr>
        <w:t>(</w:t>
      </w:r>
      <w:r>
        <w:rPr>
          <w:rFonts w:ascii="Traditional Arabic" w:hAnsi="Traditional Arabic" w:eastAsia="MS Mincho;ＭＳ 明朝" w:cs="Traditional Arabic"/>
          <w:color w:val="FF0000"/>
          <w:sz w:val="44"/>
          <w:sz w:val="44"/>
          <w:szCs w:val="44"/>
          <w:rtl w:val="true"/>
        </w:rPr>
        <w:t>عبدالبهاء عبّاس</w:t>
      </w:r>
      <w:r>
        <w:rPr>
          <w:rFonts w:eastAsia="MS Mincho;ＭＳ 明朝" w:cs="Traditional Arabic" w:ascii="Traditional Arabic" w:hAnsi="Traditional Arabic"/>
          <w:color w:val="FF0000"/>
          <w:sz w:val="44"/>
          <w:szCs w:val="44"/>
          <w:rtl w:val="true"/>
        </w:rPr>
        <w:t>)</w:t>
      </w:r>
      <w:r>
        <w:rPr>
          <w:rFonts w:eastAsia="MS Mincho;ＭＳ 明朝" w:cs="Traditional Arabic" w:ascii="Traditional Arabic" w:hAnsi="Traditional Arabic"/>
          <w:sz w:val="44"/>
          <w:szCs w:val="44"/>
          <w:rtl w:val="true"/>
        </w:rPr>
        <w:t xml:space="preserve"> </w:t>
      </w:r>
    </w:p>
    <w:p>
      <w:pPr>
        <w:pStyle w:val="Normal"/>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Pr>
      </w:r>
    </w:p>
    <w:sectPr>
      <w:headerReference w:type="default" r:id="rId2"/>
      <w:footerReference w:type="default" r:id="rId3"/>
      <w:footnotePr>
        <w:numFmt w:val="decimal"/>
      </w:footnotePr>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bidi w:val="1"/>
        <w:ind w:left="0" w:right="0" w:hanging="0"/>
        <w:jc w:val="left"/>
        <w:rPr>
          <w:rFonts w:ascii="Traditional Arabic" w:hAnsi="Traditional Arabic" w:cs="Traditional Arabic"/>
          <w:sz w:val="24"/>
          <w:szCs w:val="24"/>
          <w:lang w:bidi="ar-JO"/>
        </w:rPr>
      </w:pPr>
      <w:r>
        <w:rPr>
          <w:rStyle w:val="FootnoteCharacters"/>
        </w:rPr>
        <w:footnoteRef/>
      </w:r>
      <w:r>
        <w:rPr>
          <w:rFonts w:eastAsia="Traditional Arabic" w:cs="Traditional Arabic" w:ascii="Traditional Arabic" w:hAnsi="Traditional Arabic"/>
          <w:b/>
          <w:bCs/>
          <w:color w:val="FF0000"/>
          <w:sz w:val="24"/>
          <w:szCs w:val="24"/>
          <w:rtl w:val="true"/>
        </w:rPr>
        <w:tab/>
        <w:t xml:space="preserve"> </w:t>
      </w:r>
      <w:r>
        <w:rPr>
          <w:rFonts w:eastAsia="Traditional Arabic"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 xml:space="preserve">القرآن الكريم، سورة الرحمن </w:t>
      </w:r>
      <w:r>
        <w:rPr>
          <w:rFonts w:cs="Traditional Arabic" w:ascii="Traditional Arabic" w:hAnsi="Traditional Arabic"/>
          <w:sz w:val="24"/>
          <w:szCs w:val="24"/>
          <w:rtl w:val="true"/>
        </w:rPr>
        <w:t>(</w:t>
      </w:r>
      <w:r>
        <w:rPr>
          <w:rFonts w:cs="Traditional Arabic" w:ascii="Traditional Arabic" w:hAnsi="Traditional Arabic"/>
          <w:sz w:val="24"/>
          <w:szCs w:val="24"/>
        </w:rPr>
        <w:t>55</w:t>
      </w:r>
      <w:r>
        <w:rPr>
          <w:rFonts w:cs="Traditional Arabic" w:ascii="Traditional Arabic" w:hAnsi="Traditional Arabic"/>
          <w:sz w:val="24"/>
          <w:szCs w:val="24"/>
          <w:rtl w:val="true"/>
        </w:rPr>
        <w:t>)</w:t>
      </w:r>
      <w:r>
        <w:rPr>
          <w:rFonts w:ascii="Traditional Arabic" w:hAnsi="Traditional Arabic" w:cs="Traditional Arabic"/>
          <w:sz w:val="24"/>
          <w:sz w:val="24"/>
          <w:szCs w:val="24"/>
          <w:rtl w:val="true"/>
        </w:rPr>
        <w:t xml:space="preserve">، الآية </w:t>
      </w:r>
      <w:r>
        <w:rPr>
          <w:rFonts w:cs="Traditional Arabic" w:ascii="Traditional Arabic" w:hAnsi="Traditional Arabic"/>
          <w:sz w:val="24"/>
          <w:szCs w:val="24"/>
        </w:rPr>
        <w:t>5</w:t>
      </w:r>
    </w:p>
  </w:footnote>
  <w:footnote w:id="3">
    <w:p>
      <w:pPr>
        <w:pStyle w:val="Footnote"/>
        <w:bidi w:val="1"/>
        <w:ind w:left="0" w:right="0" w:hanging="0"/>
        <w:jc w:val="left"/>
        <w:rPr>
          <w:rFonts w:ascii="Traditional Arabic" w:hAnsi="Traditional Arabic" w:cs="Traditional Arabic"/>
          <w:sz w:val="24"/>
          <w:szCs w:val="24"/>
          <w:lang w:bidi="ar-JO"/>
        </w:rPr>
      </w:pPr>
      <w:r>
        <w:rPr>
          <w:rStyle w:val="FootnoteCharacters"/>
        </w:rPr>
        <w:footnoteRef/>
      </w:r>
      <w:r>
        <w:rPr>
          <w:rFonts w:eastAsia="Traditional Arabic" w:cs="Traditional Arabic" w:ascii="Traditional Arabic" w:hAnsi="Traditional Arabic"/>
          <w:b/>
          <w:bCs/>
          <w:color w:val="FF0000"/>
          <w:sz w:val="24"/>
          <w:szCs w:val="24"/>
          <w:rtl w:val="true"/>
        </w:rPr>
        <w:tab/>
        <w:t xml:space="preserve"> </w:t>
      </w:r>
      <w:r>
        <w:rPr>
          <w:rFonts w:eastAsia="Traditional Arabic"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 xml:space="preserve">القرآن الكريم، سورة الرحمن </w:t>
      </w:r>
      <w:r>
        <w:rPr>
          <w:rFonts w:cs="Traditional Arabic" w:ascii="Traditional Arabic" w:hAnsi="Traditional Arabic"/>
          <w:sz w:val="24"/>
          <w:szCs w:val="24"/>
          <w:rtl w:val="true"/>
        </w:rPr>
        <w:t>(</w:t>
      </w:r>
      <w:r>
        <w:rPr>
          <w:rFonts w:cs="Traditional Arabic" w:ascii="Traditional Arabic" w:hAnsi="Traditional Arabic"/>
          <w:sz w:val="24"/>
          <w:szCs w:val="24"/>
        </w:rPr>
        <w:t>55</w:t>
      </w:r>
      <w:r>
        <w:rPr>
          <w:rFonts w:cs="Traditional Arabic" w:ascii="Traditional Arabic" w:hAnsi="Traditional Arabic"/>
          <w:sz w:val="24"/>
          <w:szCs w:val="24"/>
          <w:rtl w:val="true"/>
        </w:rPr>
        <w:t>)</w:t>
      </w:r>
      <w:r>
        <w:rPr>
          <w:rFonts w:ascii="Traditional Arabic" w:hAnsi="Traditional Arabic" w:cs="Traditional Arabic"/>
          <w:sz w:val="24"/>
          <w:sz w:val="24"/>
          <w:szCs w:val="24"/>
          <w:rtl w:val="true"/>
        </w:rPr>
        <w:t xml:space="preserve">، الآية </w:t>
      </w:r>
      <w:r>
        <w:rPr>
          <w:rFonts w:cs="Traditional Arabic" w:ascii="Traditional Arabic" w:hAnsi="Traditional Arabic"/>
          <w:sz w:val="24"/>
          <w:szCs w:val="24"/>
        </w:rPr>
        <w:t>14</w:t>
      </w:r>
      <w:r>
        <w:rPr>
          <w:rFonts w:cs="Traditional Arabic" w:ascii="Traditional Arabic" w:hAnsi="Traditional Arabic"/>
          <w:sz w:val="24"/>
          <w:szCs w:val="24"/>
          <w:rtl w:val="true"/>
        </w:rPr>
        <w:t xml:space="preserve"> </w:t>
      </w:r>
    </w:p>
  </w:footnote>
  <w:footnote w:id="4">
    <w:p>
      <w:pPr>
        <w:pStyle w:val="Footnote"/>
        <w:bidi w:val="1"/>
        <w:ind w:left="0" w:right="0" w:hanging="0"/>
        <w:jc w:val="left"/>
        <w:rPr>
          <w:rFonts w:ascii="Traditional Arabic" w:hAnsi="Traditional Arabic" w:cs="Traditional Arabic"/>
          <w:sz w:val="24"/>
          <w:szCs w:val="24"/>
          <w:lang w:bidi="ar-JO"/>
        </w:rPr>
      </w:pPr>
      <w:r>
        <w:rPr>
          <w:rStyle w:val="FootnoteCharacters"/>
        </w:rPr>
        <w:footnoteRef/>
      </w:r>
      <w:r>
        <w:rPr>
          <w:rFonts w:eastAsia="Traditional Arabic" w:cs="Traditional Arabic" w:ascii="Traditional Arabic" w:hAnsi="Traditional Arabic"/>
          <w:b/>
          <w:bCs/>
          <w:color w:val="FF0000"/>
          <w:sz w:val="24"/>
          <w:szCs w:val="24"/>
          <w:rtl w:val="true"/>
        </w:rPr>
        <w:tab/>
        <w:t xml:space="preserve"> </w:t>
      </w:r>
      <w:r>
        <w:rPr>
          <w:rFonts w:eastAsia="Traditional Arabic"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 xml:space="preserve">القرآن الكريم، سورة فاطر </w:t>
      </w:r>
      <w:r>
        <w:rPr>
          <w:rFonts w:cs="Traditional Arabic" w:ascii="Traditional Arabic" w:hAnsi="Traditional Arabic"/>
          <w:sz w:val="24"/>
          <w:szCs w:val="24"/>
          <w:rtl w:val="true"/>
        </w:rPr>
        <w:t>(</w:t>
      </w:r>
      <w:r>
        <w:rPr>
          <w:rFonts w:cs="Traditional Arabic" w:ascii="Traditional Arabic" w:hAnsi="Traditional Arabic"/>
          <w:sz w:val="24"/>
          <w:szCs w:val="24"/>
        </w:rPr>
        <w:t>35</w:t>
      </w:r>
      <w:r>
        <w:rPr>
          <w:rFonts w:cs="Traditional Arabic" w:ascii="Traditional Arabic" w:hAnsi="Traditional Arabic"/>
          <w:sz w:val="24"/>
          <w:szCs w:val="24"/>
          <w:rtl w:val="true"/>
        </w:rPr>
        <w:t>)</w:t>
      </w:r>
      <w:r>
        <w:rPr>
          <w:rFonts w:ascii="Traditional Arabic" w:hAnsi="Traditional Arabic" w:cs="Traditional Arabic"/>
          <w:sz w:val="24"/>
          <w:sz w:val="24"/>
          <w:szCs w:val="24"/>
          <w:rtl w:val="true"/>
        </w:rPr>
        <w:t xml:space="preserve">، الآية </w:t>
      </w:r>
      <w:r>
        <w:rPr>
          <w:rFonts w:cs="Traditional Arabic" w:ascii="Traditional Arabic" w:hAnsi="Traditional Arabic"/>
          <w:sz w:val="24"/>
          <w:szCs w:val="24"/>
        </w:rPr>
        <w:t>1</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Traditional Arabic" w:hAnsi="Traditional Arabic" w:cs="Traditional Arabic"/>
        <w:color w:val="0000FF"/>
        <w:sz w:val="28"/>
        <w:szCs w:val="28"/>
      </w:rPr>
    </w:pPr>
    <w:r>
      <w:rPr>
        <w:rFonts w:ascii="Traditional Arabic" w:hAnsi="Traditional Arabic" w:cs="Traditional Arabic"/>
        <w:color w:val="0000FF"/>
        <w:sz w:val="28"/>
        <w:sz w:val="28"/>
        <w:szCs w:val="28"/>
        <w:rtl w:val="true"/>
      </w:rPr>
      <w:t xml:space="preserve">تفسير الجن والانسان – آثار حضرة عبدالبهاء – مائده آسماني، المجلد </w:t>
    </w:r>
    <w:r>
      <w:rPr>
        <w:rFonts w:cs="Traditional Arabic" w:ascii="Traditional Arabic" w:hAnsi="Traditional Arabic"/>
        <w:color w:val="0000FF"/>
        <w:sz w:val="28"/>
        <w:szCs w:val="28"/>
      </w:rPr>
      <w:t>2</w:t>
    </w:r>
    <w:r>
      <w:rPr>
        <w:rFonts w:ascii="Traditional Arabic" w:hAnsi="Traditional Arabic" w:cs="Traditional Arabic"/>
        <w:color w:val="0000FF"/>
        <w:sz w:val="28"/>
        <w:sz w:val="28"/>
        <w:szCs w:val="28"/>
        <w:rtl w:val="true"/>
      </w:rPr>
      <w:t xml:space="preserve">، الصفحة   </w:t>
    </w:r>
    <w:r>
      <w:rPr>
        <w:rFonts w:cs="Traditional Arabic" w:ascii="Traditional Arabic" w:hAnsi="Traditional Arabic"/>
        <w:color w:val="0000FF"/>
        <w:sz w:val="28"/>
        <w:szCs w:val="28"/>
      </w:rPr>
      <w:t>71</w:t>
    </w:r>
    <w:r>
      <w:rPr>
        <w:rFonts w:cs="Traditional Arabic" w:ascii="Traditional Arabic" w:hAnsi="Traditional Arabic"/>
        <w:color w:val="0000FF"/>
        <w:sz w:val="28"/>
        <w:szCs w:val="28"/>
        <w:rtl w:val="true"/>
      </w:rPr>
      <w:t xml:space="preserve"> </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p>
    <w:pPr>
      <w:pStyle w:val="Normal"/>
      <w:rPr>
        <w:rFonts w:ascii="Arial" w:hAnsi="Arial" w:cs="Arial"/>
        <w:color w:val="000000"/>
        <w:sz w:val="28"/>
        <w:szCs w:val="28"/>
      </w:rPr>
    </w:pPr>
    <w:r>
      <w:rPr>
        <w:rFonts w:cs="Arial" w:ascii="Arial" w:hAnsi="Arial"/>
        <w:color w:val="000000"/>
        <w:sz w:val="28"/>
        <w:szCs w:val="28"/>
      </w:rPr>
    </w:r>
  </w:p>
</w:hdr>
</file>

<file path=word/settings.xml><?xml version="1.0" encoding="utf-8"?>
<w:settings xmlns:w="http://schemas.openxmlformats.org/wordprocessingml/2006/main">
  <w:zoom w:percent="100"/>
  <w:defaultTabStop w:val="720"/>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FootnoteTextChar">
    <w:name w:val="Footnote Text Char"/>
    <w:basedOn w:val="DefaultParagraphFont"/>
    <w:qFormat/>
    <w:rPr/>
  </w:style>
  <w:style w:type="character" w:styleId="FootnoteCharacters">
    <w:name w:val="Footnote Characters"/>
    <w:qFormat/>
    <w:rPr>
      <w:vertAlign w:val="superscrip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Footnote">
    <w:name w:val="Footnote Text"/>
    <w:basedOn w:val="Normal"/>
    <w:pPr/>
    <w:rPr>
      <w:sz w:val="20"/>
      <w:szCs w:val="2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