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جواب چند سئوال حضرت عبدالبهاء میفرمایند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...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امّا پر و شانه که در کلمه مبارکه مکنونه مذکور آن میثاق الهی است این عهد و میثاق از برای آن گرفته شده که وفا بعبدالبهاء نمایند نه اینکه گلوی مبارک یعنی امر مبارک را بخراشند ولی بکلی چشم از انصاف بسته بنهایت جفا و اعتساف پرداختند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 </w:t>
      </w:r>
    </w:p>
    <w:p>
      <w:pPr>
        <w:pStyle w:val="Normal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CC"/>
        <w:sz w:val="22"/>
        <w:sz w:val="22"/>
        <w:szCs w:val="22"/>
        <w:rtl w:val="true"/>
      </w:rPr>
      <w:t xml:space="preserve">تبين آيات كلمات مكنونة </w:t>
    </w:r>
    <w:r>
      <w:rPr>
        <w:rFonts w:cs="Traditional Arabic" w:ascii="Traditional Arabic" w:hAnsi="Traditional Arabic"/>
        <w:b/>
        <w:bCs/>
        <w:color w:val="0000CC"/>
        <w:sz w:val="22"/>
        <w:szCs w:val="22"/>
        <w:rtl w:val="true"/>
      </w:rPr>
      <w:t>"</w:t>
    </w:r>
    <w:r>
      <w:rPr>
        <w:rFonts w:ascii="Traditional Arabic" w:hAnsi="Traditional Arabic" w:cs="Traditional Arabic"/>
        <w:b/>
        <w:b/>
        <w:bCs/>
        <w:color w:val="0000CC"/>
        <w:sz w:val="22"/>
        <w:sz w:val="22"/>
        <w:szCs w:val="22"/>
        <w:rtl w:val="true"/>
      </w:rPr>
      <w:t xml:space="preserve">شانه و </w:t>
    </w:r>
    <w:r>
      <w:rPr>
        <w:rFonts w:ascii="Traditional Arabic" w:hAnsi="Traditional Arabic" w:eastAsia="MS Mincho;ＭＳ 明朝" w:cs="Traditional Arabic"/>
        <w:color w:val="0000CC"/>
        <w:sz w:val="22"/>
        <w:sz w:val="22"/>
        <w:szCs w:val="22"/>
        <w:rtl w:val="true"/>
      </w:rPr>
      <w:t>پر</w:t>
    </w:r>
    <w:r>
      <w:rPr>
        <w:rFonts w:cs="Traditional Arabic" w:ascii="Traditional Arabic" w:hAnsi="Traditional Arabic"/>
        <w:b/>
        <w:bCs/>
        <w:color w:val="0000CC"/>
        <w:sz w:val="22"/>
        <w:szCs w:val="22"/>
        <w:rtl w:val="true"/>
      </w:rPr>
      <w:t xml:space="preserve">" - </w:t>
    </w:r>
    <w:r>
      <w:rPr>
        <w:rFonts w:ascii="Traditional Arabic" w:hAnsi="Traditional Arabic" w:cs="Traditional Arabic"/>
        <w:b/>
        <w:b/>
        <w:bCs/>
        <w:color w:val="0000CC"/>
        <w:sz w:val="22"/>
        <w:sz w:val="22"/>
        <w:szCs w:val="22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CC"/>
        <w:sz w:val="22"/>
        <w:szCs w:val="22"/>
      </w:rPr>
      <w:t>2</w:t>
    </w:r>
    <w:r>
      <w:rPr>
        <w:rFonts w:cs="Traditional Arabic" w:ascii="Traditional Arabic" w:hAnsi="Traditional Arabic"/>
        <w:b/>
        <w:bCs/>
        <w:color w:val="0000CC"/>
        <w:sz w:val="22"/>
        <w:szCs w:val="22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CC"/>
        <w:sz w:val="22"/>
        <w:sz w:val="22"/>
        <w:szCs w:val="22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CC"/>
        <w:sz w:val="22"/>
        <w:szCs w:val="22"/>
      </w:rPr>
      <w:t>35</w:t>
    </w:r>
    <w:r>
      <w:rPr>
        <w:rFonts w:cs="Traditional Arabic" w:ascii="Traditional Arabic" w:hAnsi="Traditional Arabic"/>
        <w:b/>
        <w:bCs/>
        <w:color w:val="0000CC"/>
        <w:sz w:val="22"/>
        <w:szCs w:val="22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