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Normal"/>
        <w:bidi w:val="1"/>
        <w:ind w:left="0" w:right="0" w:firstLine="720"/>
        <w:jc w:val="both"/>
        <w:rPr>
          <w:rFonts w:ascii="Traditional Arabic" w:hAnsi="Traditional Arabic" w:cs="Traditional Arabic"/>
          <w:sz w:val="44"/>
          <w:szCs w:val="44"/>
        </w:rPr>
      </w:pPr>
      <w:r>
        <w:rPr>
          <w:rFonts w:ascii="Traditional Arabic" w:hAnsi="Traditional Arabic" w:eastAsia="MS Mincho;ＭＳ 明朝" w:cs="Traditional Arabic"/>
          <w:sz w:val="44"/>
          <w:sz w:val="44"/>
          <w:szCs w:val="44"/>
          <w:rtl w:val="true"/>
        </w:rPr>
        <w:t>وَأَمَّا مَا سَئَلْتَ مِنَ اللُّؤْلُؤِ</w:t>
      </w:r>
      <w:r>
        <w:rPr>
          <w:rFonts w:ascii="Traditional Arabic" w:hAnsi="Traditional Arabic" w:eastAsia="MS Mincho;ＭＳ 明朝" w:cs="Traditional Arabic"/>
          <w:sz w:val="44"/>
          <w:sz w:val="44"/>
          <w:szCs w:val="44"/>
          <w:rtl w:val="true"/>
        </w:rPr>
        <w:t xml:space="preserve"> المصُونِ في الكَلِمِ المَكنُونِ مُخاطِبًا إِلَى هَمَجٍ رَعاعٍ</w:t>
      </w:r>
      <w:r>
        <w:rPr>
          <w:rFonts w:eastAsia="MS Mincho;ＭＳ 明朝"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w:t>
      </w:r>
      <w:r>
        <w:rPr>
          <w:rFonts w:ascii="Traditional Arabic" w:hAnsi="Traditional Arabic" w:eastAsia="MS Mincho;ＭＳ 明朝" w:cs="Traditional Arabic"/>
          <w:sz w:val="44"/>
          <w:sz w:val="44"/>
          <w:szCs w:val="44"/>
          <w:rtl w:val="true"/>
        </w:rPr>
        <w:t>إِيَّاكَ أَنْ تَحْرِمَ نَفْسَكَ مُلكًا لَا يزالُ بِسَبَبٍ مِنَ الإِنْزَالِ</w:t>
      </w:r>
      <w:r>
        <w:rPr>
          <w:rFonts w:ascii="Traditional Arabic" w:hAnsi="Traditional Arabic" w:cs="Traditional Arabic"/>
          <w:sz w:val="44"/>
          <w:sz w:val="44"/>
          <w:szCs w:val="44"/>
          <w:rtl w:val="true"/>
        </w:rPr>
        <w:t>﴾</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eastAsia="MS Mincho;ＭＳ 明朝" w:cs="Traditional Arabic"/>
          <w:sz w:val="44"/>
          <w:sz w:val="44"/>
          <w:szCs w:val="44"/>
          <w:rtl w:val="true"/>
        </w:rPr>
        <w:t xml:space="preserve"> أَيْ لَا تَحْرِمْ نَفْسَكَ عَنِ المَواهِبِ الإِلَهِيَّةِ وَالمِنَحِ الرَّحْمَانِيَّةِ وَالعَطَاءِ المَوفُورِ وَالجَزَاءِ المشكُورِ بسببِ اتِّبَاعِ الشَّهَواتِ النَّفْسَانِيَّةِ وَاللَّذَائِذِ الجِسْمَانِيَّةِ وَالأَحْلَامِ الشَّيْطَانِيَّةِ فَالإِنْزَالِ كِنَايَةٌ عَنِ اتِّباعِ الشَّهَوَاتِ وَارْتِكابِ الخَطِيْئَاتِ مِنْ أَيِّ نَوعٍ كَانَ وَللهِ الآياتُ البَيِّنَاتُ</w:t>
      </w:r>
      <w:r>
        <w:rPr>
          <w:rFonts w:eastAsia="MS Mincho;ＭＳ 明朝" w:cs="Traditional Arabic" w:ascii="Traditional Arabic" w:hAnsi="Traditional Arabic"/>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bidi w:val="1"/>
        <w:ind w:left="0" w:right="0" w:hanging="0"/>
        <w:jc w:val="left"/>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tabs>
          <w:tab w:val="left" w:pos="5280" w:leader="none"/>
        </w:tabs>
        <w:bidi w:val="1"/>
        <w:ind w:left="0" w:right="0" w:hanging="0"/>
        <w:jc w:val="left"/>
        <w:rPr>
          <w:rFonts w:ascii="Traditional Arabic" w:hAnsi="Traditional Arabic" w:cs="Traditional Arabic"/>
          <w:sz w:val="44"/>
          <w:szCs w:val="44"/>
        </w:rPr>
      </w:pPr>
      <w:r>
        <w:rPr>
          <w:rFonts w:cs="Traditional Arabic" w:ascii="Traditional Arabic" w:hAnsi="Traditional Arabic"/>
          <w:sz w:val="44"/>
          <w:szCs w:val="44"/>
          <w:rtl w:val="true"/>
        </w:rPr>
        <w:tab/>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من الآثار المباركة  لحضرة بهاءالله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rPr>
      <w:t xml:space="preserve">بيان الآية المباركة </w:t>
    </w:r>
    <w:r>
      <w:rPr>
        <w:rFonts w:cs="Traditional Arabic" w:ascii="Traditional Arabic" w:hAnsi="Traditional Arabic"/>
        <w:color w:val="0000FF"/>
        <w:sz w:val="28"/>
        <w:szCs w:val="28"/>
        <w:rtl w:val="true"/>
      </w:rPr>
      <w:t>(</w:t>
    </w:r>
    <w:r>
      <w:rPr>
        <w:rFonts w:ascii="Traditional Arabic" w:hAnsi="Traditional Arabic" w:cs="Traditional Arabic"/>
        <w:color w:val="0000FF"/>
        <w:sz w:val="28"/>
        <w:sz w:val="28"/>
        <w:szCs w:val="28"/>
        <w:rtl w:val="true"/>
      </w:rPr>
      <w:t>اياك ان تحرم نفسك ملكا لا يزال</w:t>
    </w:r>
    <w:r>
      <w:rPr>
        <w:rFonts w:cs="Traditional Arabic" w:ascii="Traditional Arabic" w:hAnsi="Traditional Arabic"/>
        <w:color w:val="0000FF"/>
        <w:sz w:val="28"/>
        <w:szCs w:val="28"/>
        <w:rtl w:val="true"/>
      </w:rPr>
      <w:t xml:space="preserve">...) – </w:t>
    </w:r>
    <w:r>
      <w:rPr>
        <w:rFonts w:ascii="Traditional Arabic" w:hAnsi="Traditional Arabic" w:cs="Traditional Arabic"/>
        <w:color w:val="0000FF"/>
        <w:sz w:val="28"/>
        <w:sz w:val="28"/>
        <w:szCs w:val="28"/>
        <w:rtl w:val="true"/>
      </w:rPr>
      <w:t xml:space="preserve">آثار حضرة عبدالبهاء – مائده آسماني، المجلد </w:t>
    </w:r>
    <w:r>
      <w:rPr>
        <w:rFonts w:cs="Traditional Arabic" w:ascii="Traditional Arabic" w:hAnsi="Traditional Arabic"/>
        <w:color w:val="0000FF"/>
        <w:sz w:val="28"/>
        <w:szCs w:val="28"/>
      </w:rPr>
      <w:t>2</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25</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