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وَأَمَّا ناقَةُ ٱللّهِ المَذكُورَةُ في سُورَةِ النُّصْحِ</w:t>
      </w:r>
      <w:r>
        <w:rPr>
          <w:rStyle w:val="FootnoteCharacters"/>
          <w:rStyle w:val="FootnoteAnchor"/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footnoteReference w:id="2"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فَهِيَ عِبارَةٌ عَنْ نَفْسِهِ المُقَدَّسَةِ الَّتِي وَقَعَتْ بِيَدِ الأَعْداءِ، </w:t>
      </w:r>
      <w:r>
        <w:rPr>
          <w:rFonts w:ascii="Traditional Arabic" w:hAnsi="Traditional Arabic" w:cs="Traditional Arabic"/>
          <w:color w:val="006600"/>
          <w:sz w:val="44"/>
          <w:sz w:val="44"/>
          <w:szCs w:val="44"/>
          <w:rtl w:val="true"/>
        </w:rPr>
        <w:t>﴿فَعَقَرُوْهَا﴾</w:t>
      </w:r>
      <w:r>
        <w:rPr>
          <w:rStyle w:val="FootnoteCharacters"/>
          <w:rStyle w:val="FootnoteAnchor"/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footnoteReference w:id="3"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أَيْ عَذَّبُوها وَسَلَخُوها بِأَلْسِنَةٍ حِدَاد وَعَاقَبُواها وَنَقَمُوا مِنْها حَتَّى احْتَرَقَ بِظُلْمِهِم الفُؤاد </w:t>
      </w:r>
      <w:r>
        <w:rPr>
          <w:rFonts w:ascii="Traditional Arabic" w:hAnsi="Traditional Arabic" w:cs="Traditional Arabic"/>
          <w:color w:val="006600"/>
          <w:sz w:val="44"/>
          <w:sz w:val="44"/>
          <w:szCs w:val="44"/>
          <w:rtl w:val="true"/>
        </w:rPr>
        <w:t>﴿فَدَمْدَمَ عَلَيهِمْ رَبُّهُم بِذَنْبِهِمْ﴾</w:t>
      </w:r>
      <w:r>
        <w:rPr>
          <w:rStyle w:val="FootnoteCharacters"/>
          <w:rStyle w:val="FootnoteAnchor"/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footnoteReference w:id="4"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، أَيْ حَرَّمَ عَلَيهِمِ المَواهِبَ الإِلهِيَّةَ وأَخَذهُمْ وتَرَكهُمْ في غَفْلَتِهِمْ وَشَقْوَتِهِمْ وَحِرْمانِهِمْ وَجَهْلِهِمْ إِلَى أَبَدِ الآباد  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44"/>
          <w:szCs w:val="44"/>
        </w:rPr>
      </w:pPr>
      <w:r>
        <w:rPr>
          <w:rFonts w:eastAsia="Traditional Arabic" w:cs="Traditional Arabic" w:ascii="Traditional Arabic" w:hAnsi="Traditional Arabic"/>
          <w:sz w:val="44"/>
          <w:szCs w:val="44"/>
          <w:rtl w:val="true"/>
        </w:rPr>
        <w:t xml:space="preserve"> </w:t>
      </w:r>
    </w:p>
    <w:p>
      <w:pPr>
        <w:pStyle w:val="Normal"/>
        <w:jc w:val="both"/>
        <w:rPr>
          <w:rFonts w:ascii="Traditional Arabic" w:hAnsi="Traditional Arabic" w:cs="Traditional Arabic"/>
          <w:sz w:val="44"/>
          <w:szCs w:val="44"/>
          <w:lang w:bidi="ar-JO"/>
        </w:rPr>
      </w:pPr>
      <w:r>
        <w:rPr>
          <w:rFonts w:cs="Traditional Arabic" w:ascii="Traditional Arabic" w:hAnsi="Traditional Arabic"/>
          <w:sz w:val="44"/>
          <w:szCs w:val="44"/>
          <w:lang w:bidi="ar-JO"/>
        </w:rPr>
      </w:r>
    </w:p>
    <w:p>
      <w:pPr>
        <w:pStyle w:val="Normal"/>
        <w:tabs>
          <w:tab w:val="left" w:pos="2670" w:leader="none"/>
        </w:tabs>
        <w:rPr>
          <w:rFonts w:ascii="Traditional Arabic" w:hAnsi="Traditional Arabic" w:cs="Traditional Arabic"/>
          <w:sz w:val="44"/>
          <w:szCs w:val="44"/>
          <w:lang w:bidi="ar-JO"/>
        </w:rPr>
      </w:pPr>
      <w:r>
        <w:rPr>
          <w:rFonts w:cs="Traditional Arabic" w:ascii="Traditional Arabic" w:hAnsi="Traditional Arabic"/>
          <w:sz w:val="44"/>
          <w:szCs w:val="44"/>
          <w:lang w:bidi="ar-JO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bidi w:val="1"/>
        <w:ind w:left="0" w:right="0" w:hanging="0"/>
        <w:jc w:val="left"/>
        <w:rPr>
          <w:rFonts w:ascii="Traditional Arabic" w:hAnsi="Traditional Arabic" w:cs="Traditional Arabic"/>
          <w:sz w:val="24"/>
          <w:szCs w:val="24"/>
          <w:lang w:bidi="ar-JO"/>
        </w:rPr>
      </w:pPr>
      <w:r>
        <w:rPr>
          <w:rStyle w:val="FootnoteCharacters"/>
        </w:rPr>
        <w:footnoteRef/>
      </w:r>
      <w:r>
        <w:rPr>
          <w:rFonts w:eastAsia="Traditional Arabic" w:cs="Traditional Arabic" w:ascii="Traditional Arabic" w:hAnsi="Traditional Arabic"/>
          <w:b/>
          <w:bCs/>
          <w:color w:val="FF0000"/>
          <w:sz w:val="24"/>
          <w:szCs w:val="24"/>
          <w:rtl w:val="true"/>
        </w:rPr>
        <w:tab/>
        <w:t xml:space="preserve"> </w:t>
      </w:r>
      <w:r>
        <w:rPr>
          <w:rFonts w:eastAsia="Traditional Arabic" w:cs="Traditional Arabic" w:ascii="Traditional Arabic" w:hAnsi="Traditional Arabic"/>
          <w:sz w:val="24"/>
          <w:szCs w:val="24"/>
          <w:rtl w:val="true"/>
        </w:rPr>
        <w:t xml:space="preserve"> 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>سورة النُّصح، من آثار حضرة بهاءالله</w:t>
      </w:r>
      <w:r>
        <w:rPr>
          <w:rFonts w:cs="Traditional Arabic" w:ascii="Traditional Arabic" w:hAnsi="Traditional Arabic"/>
          <w:sz w:val="24"/>
          <w:szCs w:val="24"/>
          <w:rtl w:val="true"/>
        </w:rPr>
        <w:t xml:space="preserve">.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راجع، كتاب لمعات الانوار، المجلد </w:t>
      </w:r>
      <w:r>
        <w:rPr>
          <w:rFonts w:cs="Traditional Arabic" w:ascii="Traditional Arabic" w:hAnsi="Traditional Arabic"/>
          <w:sz w:val="24"/>
          <w:szCs w:val="24"/>
        </w:rPr>
        <w:t>1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، الصفحات  </w:t>
      </w:r>
      <w:r>
        <w:rPr>
          <w:rFonts w:cs="Traditional Arabic" w:ascii="Traditional Arabic" w:hAnsi="Traditional Arabic"/>
          <w:sz w:val="24"/>
          <w:szCs w:val="24"/>
        </w:rPr>
        <w:t>350</w:t>
      </w:r>
      <w:r>
        <w:rPr>
          <w:rFonts w:cs="Traditional Arabic" w:ascii="Traditional Arabic" w:hAnsi="Traditional Arabic"/>
          <w:sz w:val="24"/>
          <w:szCs w:val="24"/>
          <w:rtl w:val="true"/>
        </w:rPr>
        <w:t xml:space="preserve"> – </w:t>
      </w:r>
      <w:r>
        <w:rPr>
          <w:rFonts w:cs="Traditional Arabic" w:ascii="Traditional Arabic" w:hAnsi="Traditional Arabic"/>
          <w:sz w:val="24"/>
          <w:szCs w:val="24"/>
        </w:rPr>
        <w:t>379</w:t>
      </w:r>
      <w:r>
        <w:rPr>
          <w:rFonts w:cs="Traditional Arabic" w:ascii="Traditional Arabic" w:hAnsi="Traditional Arabic"/>
          <w:sz w:val="24"/>
          <w:szCs w:val="24"/>
          <w:rtl w:val="true"/>
        </w:rPr>
        <w:t xml:space="preserve"> </w:t>
      </w:r>
    </w:p>
  </w:footnote>
  <w:footnote w:id="3">
    <w:p>
      <w:pPr>
        <w:pStyle w:val="Footnote"/>
        <w:bidi w:val="1"/>
        <w:ind w:left="0" w:right="0" w:hanging="0"/>
        <w:jc w:val="left"/>
        <w:rPr>
          <w:rFonts w:ascii="Traditional Arabic" w:hAnsi="Traditional Arabic" w:cs="Traditional Arabic"/>
          <w:sz w:val="24"/>
          <w:szCs w:val="24"/>
          <w:lang w:bidi="ar-JO"/>
        </w:rPr>
      </w:pPr>
      <w:r>
        <w:rPr>
          <w:rStyle w:val="FootnoteCharacters"/>
        </w:rPr>
        <w:footnoteRef/>
      </w:r>
      <w:r>
        <w:rPr>
          <w:rFonts w:eastAsia="Traditional Arabic" w:cs="Traditional Arabic" w:ascii="Traditional Arabic" w:hAnsi="Traditional Arabic"/>
          <w:b/>
          <w:bCs/>
          <w:color w:val="FF0000"/>
          <w:sz w:val="24"/>
          <w:szCs w:val="24"/>
          <w:rtl w:val="true"/>
        </w:rPr>
        <w:tab/>
        <w:t xml:space="preserve"> </w:t>
      </w:r>
      <w:r>
        <w:rPr>
          <w:rFonts w:eastAsia="Traditional Arabic" w:cs="Traditional Arabic" w:ascii="Traditional Arabic" w:hAnsi="Traditional Arabic"/>
          <w:sz w:val="24"/>
          <w:szCs w:val="24"/>
          <w:rtl w:val="true"/>
        </w:rPr>
        <w:t xml:space="preserve"> 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سورة الشمس </w:t>
      </w:r>
      <w:r>
        <w:rPr>
          <w:rFonts w:cs="Traditional Arabic" w:ascii="Traditional Arabic" w:hAnsi="Traditional Arabic"/>
          <w:sz w:val="24"/>
          <w:szCs w:val="24"/>
          <w:rtl w:val="true"/>
        </w:rPr>
        <w:t>(</w:t>
      </w:r>
      <w:r>
        <w:rPr>
          <w:rFonts w:cs="Traditional Arabic" w:ascii="Traditional Arabic" w:hAnsi="Traditional Arabic"/>
          <w:sz w:val="24"/>
          <w:szCs w:val="24"/>
        </w:rPr>
        <w:t>91</w:t>
      </w:r>
      <w:r>
        <w:rPr>
          <w:rFonts w:cs="Traditional Arabic" w:ascii="Traditional Arabic" w:hAnsi="Traditional Arabic"/>
          <w:sz w:val="24"/>
          <w:szCs w:val="24"/>
          <w:rtl w:val="true"/>
        </w:rPr>
        <w:t>)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، الآية </w:t>
      </w:r>
      <w:r>
        <w:rPr>
          <w:rFonts w:cs="Traditional Arabic" w:ascii="Traditional Arabic" w:hAnsi="Traditional Arabic"/>
          <w:sz w:val="24"/>
          <w:szCs w:val="24"/>
        </w:rPr>
        <w:t>14</w:t>
      </w:r>
      <w:r>
        <w:rPr>
          <w:rFonts w:cs="Traditional Arabic" w:ascii="Traditional Arabic" w:hAnsi="Traditional Arabic"/>
          <w:sz w:val="24"/>
          <w:szCs w:val="24"/>
          <w:rtl w:val="true"/>
        </w:rPr>
        <w:t xml:space="preserve"> </w:t>
      </w:r>
    </w:p>
  </w:footnote>
  <w:footnote w:id="4">
    <w:p>
      <w:pPr>
        <w:pStyle w:val="Footnote"/>
        <w:bidi w:val="1"/>
        <w:ind w:left="0" w:right="0" w:hanging="0"/>
        <w:jc w:val="left"/>
        <w:rPr>
          <w:rFonts w:ascii="Naskh MT for Bosch School" w:hAnsi="Naskh MT for Bosch School" w:cs="Naskh MT for Bosch School"/>
          <w:lang w:bidi="ar-JO"/>
        </w:rPr>
      </w:pPr>
      <w:r>
        <w:rPr>
          <w:rStyle w:val="FootnoteCharacters"/>
        </w:rPr>
        <w:footnoteRef/>
      </w:r>
      <w:r>
        <w:rPr>
          <w:rFonts w:eastAsia="Traditional Arabic" w:cs="Traditional Arabic" w:ascii="Traditional Arabic" w:hAnsi="Traditional Arabic"/>
          <w:b/>
          <w:bCs/>
          <w:color w:val="FF0000"/>
          <w:sz w:val="24"/>
          <w:szCs w:val="24"/>
          <w:rtl w:val="true"/>
        </w:rPr>
        <w:tab/>
        <w:t xml:space="preserve"> </w:t>
      </w:r>
      <w:r>
        <w:rPr>
          <w:rFonts w:eastAsia="Traditional Arabic" w:cs="Traditional Arabic" w:ascii="Traditional Arabic" w:hAnsi="Traditional Arabic"/>
          <w:sz w:val="24"/>
          <w:szCs w:val="24"/>
          <w:rtl w:val="true"/>
        </w:rPr>
        <w:t xml:space="preserve"> 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سورة الشمس </w:t>
      </w:r>
      <w:r>
        <w:rPr>
          <w:rFonts w:cs="Traditional Arabic" w:ascii="Traditional Arabic" w:hAnsi="Traditional Arabic"/>
          <w:sz w:val="24"/>
          <w:szCs w:val="24"/>
          <w:rtl w:val="true"/>
        </w:rPr>
        <w:t>(</w:t>
      </w:r>
      <w:r>
        <w:rPr>
          <w:rFonts w:cs="Traditional Arabic" w:ascii="Traditional Arabic" w:hAnsi="Traditional Arabic"/>
          <w:sz w:val="24"/>
          <w:szCs w:val="24"/>
        </w:rPr>
        <w:t>91</w:t>
      </w:r>
      <w:r>
        <w:rPr>
          <w:rFonts w:cs="Traditional Arabic" w:ascii="Traditional Arabic" w:hAnsi="Traditional Arabic"/>
          <w:sz w:val="24"/>
          <w:szCs w:val="24"/>
          <w:rtl w:val="true"/>
        </w:rPr>
        <w:t>)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، الآية </w:t>
      </w:r>
      <w:r>
        <w:rPr>
          <w:rFonts w:cs="Traditional Arabic" w:ascii="Traditional Arabic" w:hAnsi="Traditional Arabic"/>
          <w:sz w:val="24"/>
          <w:szCs w:val="24"/>
        </w:rPr>
        <w:t>14</w:t>
      </w:r>
      <w:r>
        <w:rPr>
          <w:rFonts w:cs="Naskh MT for Bosch School" w:ascii="Naskh MT for Bosch School" w:hAnsi="Naskh MT for Bosch School"/>
          <w:rtl w:val="true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ناقة الله في سورة النصح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 – آثار حضرة عبدالبهاء – من مكاتيب حضرة عبدالبهاء، المجلد </w:t>
    </w:r>
    <w:r>
      <w:rPr>
        <w:rFonts w:cs="Traditional Arabic" w:ascii="Traditional Arabic" w:hAnsi="Traditional Arabic"/>
        <w:color w:val="0000FF"/>
        <w:sz w:val="28"/>
        <w:szCs w:val="28"/>
      </w:rPr>
      <w:t>1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، الصفحة  </w:t>
    </w:r>
    <w:r>
      <w:rPr>
        <w:rFonts w:cs="Traditional Arabic" w:ascii="Traditional Arabic" w:hAnsi="Traditional Arabic"/>
        <w:color w:val="0000FF"/>
        <w:sz w:val="28"/>
        <w:szCs w:val="28"/>
      </w:rPr>
      <w:t>82</w:t>
    </w:r>
    <w:r>
      <w:rPr>
        <w:rFonts w:cs="Traditional Arabic" w:ascii="Traditional Arabic" w:hAnsi="Traditional Arabic"/>
        <w:color w:val="0000FF"/>
        <w:sz w:val="28"/>
        <w:szCs w:val="28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