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PlainText"/>
        <w:bidi w:val="1"/>
        <w:ind w:left="0" w:right="0" w:firstLine="720"/>
        <w:jc w:val="both"/>
        <w:rPr>
          <w:rFonts w:ascii="Traditional Arabic" w:hAnsi="Traditional Arabic" w:eastAsia="MS Mincho;ＭＳ 明朝" w:cs="Traditional Arabic"/>
          <w:sz w:val="44"/>
          <w:szCs w:val="44"/>
          <w:lang w:bidi="ar-JO"/>
        </w:rPr>
      </w:pPr>
      <w:r>
        <w:rPr>
          <w:rFonts w:ascii="Traditional Arabic" w:hAnsi="Traditional Arabic" w:cs="Traditional Arabic"/>
          <w:sz w:val="44"/>
          <w:sz w:val="44"/>
          <w:szCs w:val="44"/>
          <w:rtl w:val="true"/>
        </w:rPr>
        <w:t>وَأَمَّا ما وَرَدَ فِي زيارَةِ سَيد الشُّهَداءِ رُوحُ المُقَرَّبِينَ لَهُ الفِداءُ وهِيَ</w:t>
      </w:r>
      <w:r>
        <w:rPr>
          <w:rFonts w:cs="Traditional Arabic" w:ascii="Traditional Arabic" w:hAnsi="Traditional Arabic"/>
          <w:sz w:val="44"/>
          <w:szCs w:val="44"/>
          <w:rtl w:val="true"/>
        </w:rPr>
        <w:t xml:space="preserve">: </w:t>
      </w:r>
      <w:r>
        <w:rPr>
          <w:rFonts w:ascii="Traditional Arabic" w:hAnsi="Traditional Arabic" w:cs="Traditional Arabic"/>
          <w:sz w:val="44"/>
          <w:sz w:val="44"/>
          <w:szCs w:val="44"/>
          <w:rtl w:val="true"/>
        </w:rPr>
        <w:t>﴿بمُصِيبَتِكَ تَرَكَتِ النُّقْطَةُ مَقَرَّها واتَّخَذَتْ لنَفْسِها مقامًا تَحْتَ الباءِ﴾</w:t>
      </w:r>
      <w:r>
        <w:rPr>
          <w:rStyle w:val="FootnoteCharacters"/>
          <w:rFonts w:ascii="Traditional Arabic" w:hAnsi="Traditional Arabic" w:cs="Traditional Arabic"/>
          <w:color w:val="FF0000"/>
          <w:sz w:val="44"/>
          <w:sz w:val="44"/>
          <w:szCs w:val="44"/>
          <w:rtl w:val="true"/>
        </w:rPr>
        <w:t xml:space="preserve"> </w:t>
      </w:r>
      <w:r>
        <w:rPr>
          <w:rStyle w:val="FootnoteCharacters"/>
          <w:rStyle w:val="FootnoteAnchor"/>
          <w:rFonts w:ascii="Traditional Arabic" w:hAnsi="Traditional Arabic" w:cs="Traditional Arabic"/>
          <w:color w:val="FF0000"/>
          <w:sz w:val="44"/>
          <w:sz w:val="44"/>
          <w:szCs w:val="44"/>
          <w:rtl w:val="true"/>
        </w:rPr>
        <w:footnoteReference w:id="2"/>
      </w:r>
      <w:r>
        <w:rPr>
          <w:rFonts w:ascii="Traditional Arabic" w:hAnsi="Traditional Arabic" w:cs="Traditional Arabic"/>
          <w:sz w:val="44"/>
          <w:sz w:val="44"/>
          <w:szCs w:val="44"/>
          <w:rtl w:val="true"/>
        </w:rPr>
        <w:t xml:space="preserve"> إعْلَمْ أَنَّ النُّقْطَةَ مَقَرُّها</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 xml:space="preserve">عِنْوانُ كِتابِ الإِنشاءِ، وَأَنَّ النُقْطَةَ تَتَفَصَّلُ بالأَلِفِ والأَلِفَ تَتَكرَّرُ في الأَعْدادِ، فَتَظهَرُ الحُرُوفاتُ العالِياتُ والكلِماتُ التَّامَّاتُ، وحَيثُ إنَّ الشَّهادةَ في سَبِيلِ اللّهِ عِبارَةٌ عَنِ المَحْوِ والفَنَاءِ وسِرَّ الفِداءِ فاقْتَضى أَنَّ النُّقْطَةَ تَدْخُلُ تَحْتَ الباءِ، فَخَرَّتْ مَغْشِيًّا عَلَيها صَعِقًا حُزنًا وأَسَفًا على سَيِّدِ الشُّهَداءِ رُوحُ المُقَرَّبِينَ لَهُ الفداءُ ، فاسْتَقَرَّ مَغْشِيًّا عَلَيها تَحْتَ البَاءِ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p>
      <w:pPr>
        <w:pStyle w:val="Normal"/>
        <w:tabs>
          <w:tab w:val="left" w:pos="7575" w:leader="none"/>
        </w:tabs>
        <w:bidi w:val="1"/>
        <w:ind w:left="0" w:right="0" w:hanging="0"/>
        <w:jc w:val="both"/>
        <w:rPr>
          <w:rFonts w:ascii="Traditional Arabic" w:hAnsi="Traditional Arabic" w:cs="Traditional Arabic"/>
          <w:sz w:val="44"/>
          <w:szCs w:val="44"/>
        </w:rPr>
      </w:pPr>
      <w:r>
        <w:rPr>
          <w:rFonts w:eastAsia="Traditional Arabic" w:cs="Traditional Arabic" w:ascii="Traditional Arabic" w:hAnsi="Traditional Arabic"/>
          <w:sz w:val="44"/>
          <w:szCs w:val="44"/>
          <w:rtl w:val="true"/>
        </w:rPr>
        <w:t xml:space="preserve"> </w:t>
      </w:r>
      <w:r>
        <w:rPr>
          <w:rFonts w:cs="Traditional Arabic" w:ascii="Traditional Arabic" w:hAnsi="Traditional Arabic"/>
          <w:sz w:val="44"/>
          <w:szCs w:val="44"/>
          <w:rtl w:val="true"/>
        </w:rPr>
        <w:tab/>
      </w:r>
    </w:p>
    <w:p>
      <w:pPr>
        <w:pStyle w:val="Normal"/>
        <w:jc w:val="both"/>
        <w:rPr>
          <w:rFonts w:ascii="Traditional Arabic" w:hAnsi="Traditional Arabic" w:cs="Traditional Arabic"/>
          <w:sz w:val="44"/>
          <w:szCs w:val="44"/>
          <w:lang w:bidi="ar-JO"/>
        </w:rPr>
      </w:pPr>
      <w:r>
        <w:rPr>
          <w:rFonts w:cs="Traditional Arabic" w:ascii="Traditional Arabic" w:hAnsi="Traditional Arabic"/>
          <w:sz w:val="44"/>
          <w:szCs w:val="44"/>
          <w:lang w:bidi="ar-JO"/>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bidi w:val="1"/>
        <w:ind w:left="0" w:right="0" w:hanging="0"/>
        <w:jc w:val="left"/>
        <w:rPr>
          <w:rFonts w:ascii="Traditional Arabic" w:hAnsi="Traditional Arabic" w:cs="Traditional Arabic"/>
          <w:sz w:val="24"/>
          <w:szCs w:val="24"/>
          <w:lang w:bidi="ar-JO"/>
        </w:rPr>
      </w:pPr>
      <w:r>
        <w:rPr>
          <w:rStyle w:val="FootnoteCharacters"/>
        </w:rPr>
        <w:footnoteRef/>
      </w:r>
      <w:r>
        <w:rPr>
          <w:rFonts w:eastAsia="Traditional Arabic" w:cs="Traditional Arabic" w:ascii="Traditional Arabic" w:hAnsi="Traditional Arabic"/>
          <w:b/>
          <w:bCs/>
          <w:color w:val="FF0000"/>
          <w:sz w:val="24"/>
          <w:szCs w:val="24"/>
          <w:rtl w:val="true"/>
        </w:rPr>
        <w:tab/>
        <w:t xml:space="preserve"> </w:t>
      </w:r>
      <w:r>
        <w:rPr>
          <w:rFonts w:eastAsia="Traditional Arabic"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زيارة حضرة سيد الشهداء، من آثار حضرة بهاءالله</w:t>
      </w:r>
      <w:r>
        <w:rPr>
          <w:rFonts w:cs="Traditional Arabic" w:ascii="Traditional Arabic" w:hAnsi="Traditional Arabic"/>
          <w:sz w:val="24"/>
          <w:szCs w:val="24"/>
          <w:rtl w:val="true"/>
        </w:rPr>
        <w:t xml:space="preserve">. </w:t>
      </w:r>
      <w:r>
        <w:rPr>
          <w:rFonts w:ascii="Traditional Arabic" w:hAnsi="Traditional Arabic" w:cs="Traditional Arabic"/>
          <w:sz w:val="24"/>
          <w:sz w:val="24"/>
          <w:szCs w:val="24"/>
          <w:rtl w:val="true"/>
        </w:rPr>
        <w:t xml:space="preserve">راجع، كتاب ايام تسعه، إشراق خاوري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FF"/>
        <w:sz w:val="28"/>
        <w:sz w:val="28"/>
        <w:szCs w:val="28"/>
        <w:rtl w:val="true"/>
        <w:lang w:bidi="ar-JO"/>
      </w:rPr>
      <w:t>ما جاء في زيارة سيد الشهداء</w:t>
    </w:r>
    <w:r>
      <w:rPr>
        <w:rFonts w:ascii="Traditional Arabic" w:hAnsi="Traditional Arabic" w:cs="Traditional Arabic"/>
        <w:color w:val="0000FF"/>
        <w:sz w:val="28"/>
        <w:sz w:val="28"/>
        <w:szCs w:val="28"/>
        <w:rtl w:val="true"/>
      </w:rPr>
      <w:t xml:space="preserve"> </w:t>
    </w:r>
    <w:r>
      <w:rPr>
        <w:rFonts w:cs="Traditional Arabic" w:ascii="Traditional Arabic" w:hAnsi="Traditional Arabic"/>
        <w:color w:val="0000FF"/>
        <w:sz w:val="28"/>
        <w:szCs w:val="28"/>
        <w:rtl w:val="true"/>
      </w:rPr>
      <w:t xml:space="preserve">- </w:t>
    </w:r>
    <w:r>
      <w:rPr>
        <w:rFonts w:ascii="Traditional Arabic" w:hAnsi="Traditional Arabic" w:cs="Traditional Arabic"/>
        <w:color w:val="0000FF"/>
        <w:sz w:val="28"/>
        <w:sz w:val="28"/>
        <w:szCs w:val="28"/>
        <w:rtl w:val="true"/>
      </w:rPr>
      <w:t xml:space="preserve">من مكاتيب حضرة عبدالبهاء،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82</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ootnote">
    <w:name w:val="Footnote Text"/>
    <w:basedOn w:val="Normal"/>
    <w:pPr/>
    <w:rPr>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