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4"/>
          <w:szCs w:val="44"/>
        </w:rPr>
      </w:pPr>
      <w:r>
        <w:rPr>
          <w:rFonts w:cs="Traditional Arabic" w:ascii="Traditional Arabic" w:hAnsi="Traditional Arabic"/>
          <w:sz w:val="44"/>
          <w:szCs w:val="44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4"/>
          <w:szCs w:val="44"/>
          <w:lang w:bidi="ar-JO"/>
        </w:rPr>
      </w:pP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>وأَمَّا ما نُزِّلَ في سُورَةِ الحَجِّ</w:t>
      </w:r>
      <w:r>
        <w:rPr>
          <w:rStyle w:val="FootnoteCharacters"/>
          <w:rStyle w:val="FootnoteAnchor"/>
          <w:rFonts w:ascii="Traditional Arabic" w:hAnsi="Traditional Arabic" w:cs="Traditional Arabic"/>
          <w:color w:val="FF0000"/>
          <w:sz w:val="44"/>
          <w:sz w:val="44"/>
          <w:szCs w:val="44"/>
          <w:rtl w:val="true"/>
        </w:rPr>
        <w:footnoteReference w:id="2"/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أَنَّ ٱللّهَ فَرَضَ على الطَّائِفِ أَنْ يسْتَمِعَ نِداءَ الحَقِّ حينَ طَوافِهِ وَإِذَا لَمْ يسْتَمعْ يُكرِّرُ الطَّوافَ حَتَّى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 </w:t>
      </w:r>
      <w:r>
        <w:rPr>
          <w:rFonts w:ascii="Traditional Arabic" w:hAnsi="Traditional Arabic" w:cs="Traditional Arabic"/>
          <w:sz w:val="44"/>
          <w:sz w:val="44"/>
          <w:szCs w:val="44"/>
          <w:rtl w:val="true"/>
        </w:rPr>
        <w:t xml:space="preserve">يَسْتَمعَ النِّداءَ، فالمُرادُ مِنَ النِّداءِ نِداءُ الرَّحْمَنِ في وادي الأَيمَنِ مِنْ قَلْبِ الإِنْسانِ، وهذا هُوَ البُقْعَةُ المُبارَكةُ الَّتِي يَرْتَفِعُ مِنْها النِّداءُ، وَيَسْمَعُها أُذُنٌ واعِيَةٌ صاغِيَةٌ وَيُحْرَمُ عَنِ الاسْتِماعِ القُلُوبُ القاسِيةُ   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(</w:t>
      </w:r>
      <w:r>
        <w:rPr>
          <w:rFonts w:ascii="Traditional Arabic" w:hAnsi="Traditional Arabic" w:eastAsia="MS Mincho;ＭＳ 明朝" w:cs="Traditional Arabic"/>
          <w:color w:val="FF0000"/>
          <w:sz w:val="44"/>
          <w:sz w:val="44"/>
          <w:szCs w:val="44"/>
          <w:rtl w:val="true"/>
        </w:rPr>
        <w:t>عبدالبهاء عبّاس</w:t>
      </w:r>
      <w:r>
        <w:rPr>
          <w:rFonts w:eastAsia="MS Mincho;ＭＳ 明朝" w:cs="Traditional Arabic" w:ascii="Traditional Arabic" w:hAnsi="Traditional Arabic"/>
          <w:color w:val="FF0000"/>
          <w:sz w:val="44"/>
          <w:szCs w:val="44"/>
          <w:rtl w:val="true"/>
        </w:rPr>
        <w:t>)</w:t>
      </w:r>
      <w:r>
        <w:rPr>
          <w:rFonts w:eastAsia="MS Mincho;ＭＳ 明朝" w:cs="Traditional Arabic" w:ascii="Traditional Arabic" w:hAnsi="Traditional Arabic"/>
          <w:sz w:val="44"/>
          <w:szCs w:val="44"/>
          <w:rtl w:val="true"/>
        </w:rPr>
        <w:t xml:space="preserve"> </w:t>
      </w:r>
    </w:p>
    <w:p>
      <w:pPr>
        <w:pStyle w:val="Normal"/>
        <w:tabs>
          <w:tab w:val="left" w:pos="2025" w:leader="none"/>
        </w:tabs>
        <w:jc w:val="both"/>
        <w:rPr>
          <w:rFonts w:ascii="Traditional Arabic" w:hAnsi="Traditional Arabic" w:cs="Traditional Arabic"/>
          <w:sz w:val="44"/>
          <w:szCs w:val="44"/>
          <w:lang w:bidi="ar-JO"/>
        </w:rPr>
      </w:pPr>
      <w:r>
        <w:rPr>
          <w:rFonts w:cs="Traditional Arabic" w:ascii="Traditional Arabic" w:hAnsi="Traditional Arabic"/>
          <w:sz w:val="44"/>
          <w:szCs w:val="44"/>
          <w:lang w:bidi="ar-JO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bidi w:val="1"/>
        <w:ind w:left="0" w:right="0" w:hanging="0"/>
        <w:jc w:val="both"/>
        <w:rPr>
          <w:rFonts w:ascii="Traditional Arabic" w:hAnsi="Traditional Arabic" w:cs="Traditional Arabic"/>
          <w:sz w:val="24"/>
          <w:szCs w:val="24"/>
          <w:lang w:bidi="ar-JO"/>
        </w:rPr>
      </w:pPr>
      <w:r>
        <w:rPr>
          <w:rStyle w:val="FootnoteCharacters"/>
        </w:rPr>
        <w:footnoteRef/>
      </w:r>
      <w:r>
        <w:rPr>
          <w:rFonts w:eastAsia="Traditional Arabic" w:cs="Traditional Arabic" w:ascii="Traditional Arabic" w:hAnsi="Traditional Arabic"/>
          <w:b/>
          <w:bCs/>
          <w:color w:val="FF0000"/>
          <w:sz w:val="24"/>
          <w:szCs w:val="24"/>
          <w:rtl w:val="true"/>
        </w:rPr>
        <w:tab/>
        <w:t xml:space="preserve"> </w:t>
      </w:r>
      <w:r>
        <w:rPr>
          <w:rFonts w:eastAsia="Traditional Arabic" w:cs="Traditional Arabic" w:ascii="Traditional Arabic" w:hAnsi="Traditional Arabic"/>
          <w:sz w:val="24"/>
          <w:szCs w:val="24"/>
          <w:rtl w:val="true"/>
        </w:rPr>
        <w:t xml:space="preserve"> 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سورة حج البيت المبارك في بغداد، من آثار حضرة بهاءالله، </w:t>
      </w:r>
      <w:r>
        <w:rPr>
          <w:rFonts w:cs="Traditional Arabic" w:ascii="Traditional Arabic" w:hAnsi="Traditional Arabic"/>
          <w:sz w:val="24"/>
          <w:szCs w:val="24"/>
          <w:rtl w:val="true"/>
        </w:rPr>
        <w:t>"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ذًا يَسْكُنُ فِي نَفْسِهِ و‌يَسْكُتُ فِي ذَاتِهِ ثُمَّ يَتَوَجَّهُ بِقَلْبِهِ و‌سَمْعِهِ إِلَى شَطْرِ البَيْتِ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نْ وَجَدَ رَائِحَةَ اللّهِ و‌سَمِعَ نِدَائَهُ يُوْقِنُ فِي نَفْسِهِ بِ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نَّ اللهَ كَفَّرَ عَنْهُ سَيِّئَاتِهِ و‌تَجَاوَزَ عَنْهُ و‌تَابَ عَلَيْهِ و‌يَشْهَدُ نَفْسَهُ مِثْلَ يَوْمِ الَّذِي وُلِدَ مِنْ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مِّهِ و‌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إِ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نْ مَا وَجَدَ رَائِحَةَ اللّهِ العَزِيزِ القَدِيرِ يُكَرِّرِ العَمَلَ فِي هَذَا اليَوْمِ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وْ فِي يَوْمٍ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خْرَى إِلَى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نْ يَجِدَ و‌يَسْمَعَ و‌هَذَا مَا قُدِ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رَ مِنْ قَلَمِ عِز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ٍّ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 حَكِيمٍ عَلَى 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  <w:lang w:bidi="ar-JO"/>
        </w:rPr>
        <w:t>أَ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لْوَاحِ قُدْسٍ حَفِيظٍ</w:t>
      </w:r>
      <w:r>
        <w:rPr>
          <w:rFonts w:cs="Traditional Arabic" w:ascii="Traditional Arabic" w:hAnsi="Traditional Arabic"/>
          <w:sz w:val="24"/>
          <w:szCs w:val="24"/>
          <w:rtl w:val="true"/>
        </w:rPr>
        <w:t>"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>، راجع، آثار قلم اعلى، المجلد</w:t>
      </w:r>
      <w:r>
        <w:rPr>
          <w:rFonts w:cs="Traditional Arabic" w:ascii="Traditional Arabic" w:hAnsi="Traditional Arabic"/>
          <w:sz w:val="24"/>
          <w:szCs w:val="24"/>
        </w:rPr>
        <w:t>4</w:t>
      </w:r>
      <w:r>
        <w:rPr>
          <w:rFonts w:ascii="Traditional Arabic" w:hAnsi="Traditional Arabic" w:cs="Traditional Arabic"/>
          <w:sz w:val="24"/>
          <w:sz w:val="24"/>
          <w:szCs w:val="24"/>
          <w:rtl w:val="true"/>
        </w:rPr>
        <w:t xml:space="preserve">، الصفحات  </w:t>
      </w:r>
      <w:r>
        <w:rPr>
          <w:rFonts w:cs="Traditional Arabic" w:ascii="Traditional Arabic" w:hAnsi="Traditional Arabic"/>
          <w:sz w:val="24"/>
          <w:szCs w:val="24"/>
        </w:rPr>
        <w:t>192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– </w:t>
      </w:r>
      <w:r>
        <w:rPr>
          <w:rFonts w:cs="Traditional Arabic" w:ascii="Traditional Arabic" w:hAnsi="Traditional Arabic"/>
          <w:sz w:val="24"/>
          <w:szCs w:val="24"/>
        </w:rPr>
        <w:t>215</w:t>
      </w:r>
      <w:r>
        <w:rPr>
          <w:rFonts w:cs="Traditional Arabic" w:ascii="Traditional Arabic" w:hAnsi="Traditional Arabic"/>
          <w:sz w:val="24"/>
          <w:szCs w:val="24"/>
          <w:rtl w:val="true"/>
        </w:rPr>
        <w:t xml:space="preserve">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  <w:lang w:bidi="ar-JO"/>
      </w:rPr>
      <w:t>ما نزل في سورة الحج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 – آثار حضرة عبدالبهاء – من مكاتيب حضرة عبدالبهاء، المجلد </w:t>
    </w:r>
    <w:r>
      <w:rPr>
        <w:rFonts w:cs="Traditional Arabic" w:ascii="Traditional Arabic" w:hAnsi="Traditional Arabic"/>
        <w:color w:val="0000FF"/>
        <w:sz w:val="28"/>
        <w:szCs w:val="28"/>
      </w:rPr>
      <w:t>1</w:t>
    </w:r>
    <w:r>
      <w:rPr>
        <w:rFonts w:ascii="Traditional Arabic" w:hAnsi="Traditional Arabic" w:cs="Traditional Arabic"/>
        <w:color w:val="0000FF"/>
        <w:sz w:val="28"/>
        <w:sz w:val="28"/>
        <w:szCs w:val="28"/>
        <w:rtl w:val="true"/>
      </w:rPr>
      <w:t xml:space="preserve">، الصفحة  </w:t>
    </w:r>
    <w:r>
      <w:rPr>
        <w:rFonts w:cs="Traditional Arabic" w:ascii="Traditional Arabic" w:hAnsi="Traditional Arabic"/>
        <w:color w:val="0000FF"/>
        <w:sz w:val="28"/>
        <w:szCs w:val="28"/>
      </w:rPr>
      <w:t>82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