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36"/>
        </w:rPr>
      </w:pPr>
      <w:r>
        <w:rPr>
          <w:rFonts w:cs="Naskh MT for Bosch School" w:ascii="Naskh MT for Bosch School" w:hAnsi="Naskh MT for Bosch School"/>
          <w:sz w:val="28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36"/>
          <w:rtl w:val="true"/>
        </w:rPr>
        <w:t xml:space="preserve">      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ای يزدان مهربان، جميع بشر را از يک سلاله خلق فرمودی تا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اعضای يک خاندان گردند و بندگان حضرت تو شوند در ظلّ سرادق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فضلت مأوی بخشيدی و بر خوان نعمتت مجتمع کردی و از اشراقات انوار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عنايتت منوّر ساختی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ای خدا، توئی مهربان توئی ملجأ و پناه و بخشندهء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فيض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حيات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تاج انسانی را زينت هر سری فرمودی و خلعت موهبت را زيور کلّ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بشر تا غريق دريای رحمتت شوند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ای مولای مهربان، کلّ را متّحد فرما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و مذاهب مختلفه را بيکديگر الفت بخش جميع ملل را ملّت واحده کن تا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اجزاء يک خانمان شوند و روی زمين را يک وطن دانند و بنهايت اتّحاد الفت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جويند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ای خدا، رايت وحدت عالم انسانی را بلند فرما و صلح اعظم را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مستقرّ کن قلوب را بيکديگر التيام ده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ای خدا، ای پدر مهربان، قلوبمان را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از نفحات محبّتت شادمان کن و ديده‌ها را بنور هدايت روشن نما و گوشها را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از نغمات جانپرور متلذّذ فرما و در صون عنايتت ملجأ و پناه بخش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نّک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نت القويّ القدير يا ستّار العيوب و يا غافر الذّنوب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. 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28"/>
          <w:sz w:val="28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28"/>
          <w:szCs w:val="36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B050"/>
        <w:left w:val="threeDEngrave" w:sz="48" w:space="24" w:color="00B050"/>
        <w:bottom w:val="threeDEmboss" w:sz="48" w:space="24" w:color="00B050"/>
        <w:right w:val="threeDEmboss" w:sz="48" w:space="24" w:color="00B05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دعاهاى به جهت اتحاد ووحدت اهل عالم در شرق وغرب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اثر حضرت عبدالبهاء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بهاءالله وعصر جديد، صفحه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115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