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>لوح س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  <w:lang w:bidi="fa-IR"/>
        </w:rPr>
        <w:t>و</w:t>
      </w: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 w:val="28"/>
          <w:szCs w:val="28"/>
          <w:rtl w:val="true"/>
        </w:rPr>
        <w:t xml:space="preserve">م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که بافتخار احبّا و اماء رحمان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مرکزی ايالات متّحده صبح چهار شنبه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٢٩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مارچ سنه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١٩١٦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در جلوی بيت مبارک در بهجی از فم مرکز ميثاق صادر گشت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احبّا و اماء رحمان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</w:rPr>
        <w:t>١٢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ايالات مرکزی ايالات متّحده ميشيگان ويسکنسن، ايلی‌نوا، ايندييانا، اُوهايو، منيزتا، آيووا ميسوری، نورت داکوتا، سوت داکوتا، نبراسکا کانساس عليهم و عليهن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28"/>
          <w:szCs w:val="28"/>
        </w:rPr>
      </w:pPr>
      <w:r>
        <w:rPr>
          <w:rFonts w:eastAsia="MS Mincho;ＭＳ 明朝"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ای نفوس آسمانی ای محافل روحانی ای مجامع ربّانی هر چند مدّتيست که در تحرير رسائل تأخير شد و اين بجهت صعوبت ارسال و مرسول بود حال چون اندکی سهولت حاصل لهذا بتحرير اين مختصر پرداختم تا دل و جان بياد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يار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ان روح و ريحان يابد همواره اين آواره بدرگاه حضرت احديّت تضرّع و زاری مينمايد و ياران را عون و عنايت و تأييدات آسمانی طلبد هميشه در خاطريد فراموش نشده و نخواهيد شد از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لطاف حضرت پروردگار اميدوارم که روز بروز بر ايمان و ايقان و ثبوت و استقامت بيفزائيد و سبب انتشار نفحات قدس گرديد هر چند در ايالات ايلی نوا و ويسکنسن و اوهايو و مينزتا و ميشيگان احبّا الحمد للّه موجود و در نهايت ثبوت و رسوخ محشور شب و روز جز نشر نفحات الهی مقصدی ندارند و بغير از ترويج تعاليم آسمانی مرا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ی 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مانند شمعها بنور محبّت اللّه روشنند و بمثابه طيور شکور در رياض معرفة اللّه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لحان روح بخش تغنّی مينمايند ولی در ايندييانا، ايودا، ميسوری، نرت داکوتا، سوت داکوتا نبراسکا، کانساس در اين ايالات عبور و مرور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حباب قليل و آنطوريکه بايد و شايد ندا بملکوت الهی نگشته و اعلان وحدت عالم انسانی نشده و نفوس مبارکی و مبل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غين منقطعی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نصفحات نرفته لهذا اين ولايات هنوز افسرده است بايد بهمّت ياران الهی در اين ولايات نيز نفوسی مشتعل بنار محبّت اللّه شوند و منجذب بملکوت اللّه گردند تا آن اقليم نيز روشن گردد و نسيم روح بخش گلشن ملکوت مشام اهالی را معطّر نمايد لهذا اگر ممکن گردد نفوسی منقطع الی اللّه و منزّه و مقدّس 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نصفحات بفرستيد اگر اين نفوس در نهايت انجذاب باشند يقين است که در مدّتی قليله نتائج 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ظ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يمه خواهد بخشيد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بناء و بنات ملکوت مانند دهقان حقيقی هستند بهر خطّه و ديار که مرور نمايند جانفشانی کنند و تخم پاکی بيفشانند آن تخم پاک خرمنها تشکيل کند چنانچه در انجيل جليل ميفرمايد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: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چون تخم پاک در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رض طيّبه طاهره افشانده گردد فيض و برکت آسمانی حصول يابد اميدوارم که شما موفّق و مؤيّد گرديد ابداً فتور در نشر تعاليم الهی نکنيد روز بروز بر همّت و سعی و کوشش بيفزائيد و عليکم و عليکنّ التّحيّة و الثّناء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8"/>
          <w:sz w:val="28"/>
          <w:szCs w:val="28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28"/>
          <w:szCs w:val="28"/>
          <w:rtl w:val="true"/>
        </w:rPr>
        <w:t>)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28"/>
          <w:szCs w:val="28"/>
          <w:lang w:bidi="ar-JO"/>
        </w:rPr>
      </w:pP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الواح فرامين تبليغى، دوره اوّل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ascii="Simplified Arabic" w:hAnsi="Simplified Arabic" w:cs="Simplified Arabic"/>
        <w:color w:val="0000FF"/>
        <w:rtl w:val="true"/>
      </w:rPr>
      <w:t>لوح سوم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على اساس مكاتيب حضرت عبدالبهاء، جلد</w:t>
    </w:r>
    <w:r>
      <w:rPr>
        <w:rFonts w:cs="Simplified Arabic" w:ascii="Simplified Arabic" w:hAnsi="Simplified Arabic"/>
        <w:color w:val="0000FF"/>
      </w:rPr>
      <w:t>3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