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Cs w:val="28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 w:val="28"/>
          <w:szCs w:val="28"/>
          <w:rtl w:val="true"/>
        </w:rPr>
        <w:t xml:space="preserve">لوح اوّل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که بافتخار احبّاء و اماء رحمن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٩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يالات شمال شرقی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يالات متّحده صبح روز جمعه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فبراير سنه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١٩١٧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در بالاخانه اسمعيل آغا در بيت مبارک حيفا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ز فم ميثاق صادر گشت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Cs w:val="28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احبّا و امآء رحمن در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٩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ايالات شمال شرقی ايالات متّحده مين، ماساجوست، نيوهامشار، رودايلند، کن نکتيکت، ورمنت، پنسيلوانيا، نيوجرزی نيويورک، عليهم و عليهنّ التّحيّة و الثّناء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Simplified Arabic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MS Mincho;ＭＳ 明朝" w:cs="Simplified Arabic"/>
          <w:b/>
          <w:b/>
          <w:bCs/>
          <w:sz w:val="48"/>
          <w:sz w:val="48"/>
          <w:szCs w:val="48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sz w:val="28"/>
          <w:szCs w:val="28"/>
        </w:rPr>
      </w:pPr>
      <w:r>
        <w:rPr>
          <w:rFonts w:eastAsia="MS Mincho;ＭＳ 明朝" w:cs="Simplified Arabic" w:ascii="Simplified Arabic" w:hAnsi="Simplified Arabic"/>
          <w:b/>
          <w:bCs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ای دوستان حقيقی جميع اقاليم در نزد حقّ اقليم واحد است و جميع مدائن و قری يکسان و متساوی هيچيک بر ديگری امتياز ندارد کلّ مزارع الهيست و منشأ نفوس انسانی ولی بايمان و ايقان و سبقت بر ديگران مکين مکان را مشر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ف نمايد بعضی از بلاد مستثنی گردند و بشرف 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يّت بی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منتهی فائز شوند مثلا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ً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بعضی از اقاليم اوروپا و امريکا بلطافت هوا و عذوبت ماء و حلاوت کوه و دشت و صحرا مستثنی و در نهايت امتياز با وجود اين فلسطين شرف جميع اقاليم گشت زيرا جميع مظاهر مقدّسه الهيّه از يوم حضرت ابراهيم تا ظهور </w:t>
      </w:r>
      <w:r>
        <w:rPr>
          <w:rFonts w:ascii="Simplified Arabic" w:hAnsi="Simplified Arabic" w:cs="Simplified Arabic"/>
          <w:color w:val="006600"/>
          <w:sz w:val="28"/>
          <w:sz w:val="28"/>
          <w:szCs w:val="28"/>
          <w:rtl w:val="true"/>
        </w:rPr>
        <w:t>﴿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</w:rPr>
        <w:t>خَاتَمَ النَّبِيِّينَ</w:t>
      </w:r>
      <w:r>
        <w:rPr>
          <w:rFonts w:ascii="Simplified Arabic" w:hAnsi="Simplified Arabic" w:cs="Simplified Arabic"/>
          <w:color w:val="006600"/>
          <w:sz w:val="28"/>
          <w:sz w:val="28"/>
          <w:szCs w:val="28"/>
          <w:rtl w:val="true"/>
        </w:rPr>
        <w:t xml:space="preserve">﴾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يا در اين اقليم متوط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ن يا مهاجر و مسافر بودند و همچنين يثرب و بطحا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بشرف بی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منتهی فائز نور نبوّت در آنجا تابيد لهذا فلسطين و حجاز از جميع اقاليم ممتاز گشت حال نيز قطعه امريک در نزد حقّ ميدان اشراق انوار است و کشور ظهور اسرار و منشاء ابرار و مجمع احرار جميع مبارک است ولی ايالات تسعه چون در ايمان و ايقان سبقت گرفتند لهذا از اين سبقت امتياز يافتند بايد که قدر اين نعمت را بدانند که بچنين موهبتی سرافراز گشتند و بشکرانه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اين موهبت کبری قيام بر نشر نفحات اللّه نمايند تا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يه مبارکه </w:t>
      </w:r>
      <w:r>
        <w:rPr>
          <w:rFonts w:ascii="Simplified Arabic" w:hAnsi="Simplified Arabic" w:cs="Simplified Arabic"/>
          <w:color w:val="006600"/>
          <w:sz w:val="28"/>
          <w:sz w:val="28"/>
          <w:szCs w:val="28"/>
          <w:rtl w:val="true"/>
        </w:rPr>
        <w:t>﴿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</w:rPr>
        <w:t>اللّهُ نُورُ السَّمَوَاتِ وَالأَرْضِ مَثَلُ نُورِهِ کَمِشْکَوةٍ فِيْهَا مِصْبَاحٌ المِصْبَاحُ فِي زُجَاجَةٍ الزُّجَاجَةُ کَ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  <w:lang w:bidi="fa-IR"/>
        </w:rPr>
        <w:t>أَ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</w:rPr>
        <w:t>ن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  <w:lang w:bidi="fa-IR"/>
        </w:rPr>
        <w:t>َّ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</w:rPr>
        <w:t>هَا کَوکَبٌ دُرِّیٌّ يُوْقَدُ مِنْ شَجَرَةٍ مُبَارَکَةٍ زَيْتُونَةٍ لَا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</w:rPr>
        <w:t>شَرقِيَّةٍ وَلَا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</w:rPr>
        <w:t>غَربِيَّةٍ يَکَادُ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</w:rPr>
        <w:t>زَيْتُهَا يُضِيءُ وَلَوْ لَمْ تَمْسَسْهُ نَارٌ نُورٌ عَلَی نُورٍ</w:t>
      </w:r>
      <w:r>
        <w:rPr>
          <w:rFonts w:ascii="Simplified Arabic" w:hAnsi="Simplified Arabic" w:cs="Simplified Arabic"/>
          <w:color w:val="006600"/>
          <w:sz w:val="28"/>
          <w:sz w:val="28"/>
          <w:szCs w:val="28"/>
          <w:rtl w:val="true"/>
        </w:rPr>
        <w:t>﴾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تحقّق يابد ميفرمايد عالم طبيعت عالم ظلمات است زيرا منش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أ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هزار گونه فساد است بلکه ظلمت اندر ظلمت است نورانيّت عالم طبيعت باشراق شمس حقيقت است فيض هدايت مانند شمع است که در زجاجه علم و حکمت روشن است و آن زجاجه علم و حکمت در مشکاة قلب انسانيست دهن آنسراج نورانی از اثمار شجره مبارکه است و بدرجه‌ئی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ن دهن لطيف است که بی آتش بر افروزد قوّت نور و صفوت زجاج و لطافت مشکاة چون جمع گردد نور علی نور شود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باری در اين نه ايالات مبارکه عبدالبهاء سير و حرکت نمود و بيان حکمت کتب آسمانی کرد و نشر نفحات نمود در اکثری تأسيس بنيان الهی کرد و باب تبليغ بگشود و در آن مزرعه‌ها تخم پاکی افشاند و کشت مبارکی کرد حال احبّاء الهی و امآء رحمن بايد آن کشت را آبياری کنند و بکمال قوّت بتربيت آن کشت پردازند تا بنهايت قوّت نشو و نما کند و فيض و برکت حاصل شود و خرمنهای بسيار عظيم بوجود آيد ملکوت اللّه مانند دهقانيست که بخاک پاکی بگذرد و بذر آسمانی بيفشاند و سحاب رحمت يزدانی ببارد و حرارت شمس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حقيقت بتابد حال جميع اين مواهب در اين ايالات تسعه واقع و حاضر و موجود دهقان الهی بآن خاک پاک مقدّس مرور نمود و تخمی پاک از تعاليم ربّانی در آن کشتزار افشاند باران فيوضات الهی بباريد و حرارت شمس حقيقت يعنی تأييدات رحمانی بتابيد حال آبياری ميخواهد اميدم چنانست که آن نفوس مبارکه هر يک آبيار بی مثيل و نظير گردد و شرق و غرب امريکا بهشت برين شود تا ملأ اعلی بتحسين فرياد طوبی لکم ثمّ طوبی لکم برآرد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و عليکم و عليکنّ التّحيّة و الثّناء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اين مناجاترا هر يک روز يکمرتبه تلاوت کند پروردگار مهربانا شکر ترا شاهراه هدايت بنمودی و ابواب ملکوت بگشودی و بواسطه شمس حقيقت تجلّی فرمودی کوران بينا نمودی و کران شنوا کردی مردگان زنده فرمودی و فقيران اغنيا کردی گمراهان را راه بنمودی و تشنگانرا بچشمه هدايت دلالت کردی ماهيان لب تشنه را بدريای حقيقت رساندی و مرغان آواره را بگلشن عنايت دعوت فرمودی پروردگارا جمعی هستيم بندگان تو و فقيران تو دور افتاده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ايم مشتاقان تو تشنه چشمه توئيم و دردمند درمان توئيم در ره تو قدم نهاديم و مقصد و آرزوئی جز نشر نفحات تو نداريم تا نفوس فرياد اهْدِنَا الصِّرَاطَ المُسْتَقِيمَ برآرند و ديده بمشاهده انوار روشن نمايند از ظلمات جهالت برهند 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طائف حول سراج هدايت گردند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بی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نصيبان نصيب برند و محرومان محرم راز شوند پروردگارا بعين عنايت نظر نما تأييدی آسمانی فرما نفثات روح القدس مبذول دار تا بخدمت موفّق گرديم و مانند ستاره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های روشن در اين اقاليم بنور هدايت بدرخشيم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توئی مقتدر و توانا و توئی عالم و بينا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(</w:t>
      </w:r>
      <w:r>
        <w:rPr>
          <w:rFonts w:ascii="Simplified Arabic" w:hAnsi="Simplified Arabic" w:eastAsia="MS Mincho;ＭＳ 明朝" w:cs="Simplified Arabic"/>
          <w:color w:val="FF0000"/>
          <w:sz w:val="28"/>
          <w:sz w:val="28"/>
          <w:szCs w:val="28"/>
          <w:rtl w:val="true"/>
        </w:rPr>
        <w:t>عبدالبهاء عبّاس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)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الواح فرامين تبليغى، دوره دوم </w:t>
    </w:r>
    <w:r>
      <w:rPr>
        <w:rFonts w:cs="Simplified Arabic" w:ascii="Simplified Arabic" w:hAnsi="Simplified Arabic"/>
        <w:color w:val="0000FF"/>
        <w:rtl w:val="true"/>
      </w:rPr>
      <w:t>(</w:t>
    </w:r>
    <w:r>
      <w:rPr>
        <w:rFonts w:ascii="Simplified Arabic" w:hAnsi="Simplified Arabic" w:cs="Simplified Arabic"/>
        <w:color w:val="0000FF"/>
        <w:rtl w:val="true"/>
      </w:rPr>
      <w:t>لوح اوّل</w:t>
    </w:r>
    <w:r>
      <w:rPr>
        <w:rFonts w:cs="Simplified Arabic" w:ascii="Simplified Arabic" w:hAnsi="Simplified Arabic"/>
        <w:color w:val="0000FF"/>
        <w:rtl w:val="true"/>
      </w:rPr>
      <w:t>)</w:t>
    </w:r>
    <w:r>
      <w:rPr>
        <w:rFonts w:cs="Simplified Arabic" w:ascii="Simplified Arabic" w:hAnsi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على اساس مكاتيب حضرت عبدالبهاء، جلد</w:t>
    </w:r>
    <w:r>
      <w:rPr>
        <w:rFonts w:cs="Simplified Arabic" w:ascii="Simplified Arabic" w:hAnsi="Simplified Arabic"/>
        <w:color w:val="0000FF"/>
      </w:rPr>
      <w:t>3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