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اوّل فريضه اصحاب شور خلوص نيّت و نورانيّت حقيقت و انقطاع از 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سوی اللّه و انجذاب بنفحات اللّه و خضوع و خشوع بين احبّا و صبر و تحمّل بر بلاء و بند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ی عتبه ساميه الهيّه است و چون باينصفات موفّق و مؤيّد گردند نصرت ملکوت غيب ابهی احاطه نمايد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ثانی فريضه اثبات وحدانيّت جمال غيب ابهی و مظهريّت کامله ربّانيّه حضرت نقطه اولی و عبوديّت محضه صرفه ذاتيّه کينونيّه باطنه حقيق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يّه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صريحه عبدالبهاء بدون شائبه ذکری دون آن و هذه غايتی القصوی و منتهی معارجی العليا و جنّتی المأوی و هی نور وجهی و منية قلبی و شفاء صدری و قرّة عينی و رواء غلّتی و برد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لوعتی و برء علّتی وَ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مَن اعْتَقَدَ بِغَيْرِ هَذَا فَقَدْ خَالَفَ عبدالبهاء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ثالث فريضه ترويج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حکام الهيّه در بين احبّا از صلاة و صيام و حج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و حقوق و سائر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حکام الهيّه بالتمام و همچنين دائما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تشويق و تحريص کلّ احبّا بموجب نصوص قاطعه الهيّه بر اطاعت و خدمت سرير سلطنت عادله شهرياری و صداقت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امانت در خدمات اعلی حضرت دادپرور تاجداری و تمکين اولياء امور حکمرانی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رابع فريضه حفظ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صيانت عموم احبّاء در جميع موارد و مواقع و تمشيت امور عموميّه از قبيل تربيت اطفال و تهذيب اخلاق و تعليم علوم نافعه از جميع جهات و تأسيس مدارس و مکاتب بجهة ذکور و اناث و تکفّل فقراء و ضعفاء و صغار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ايتام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رامل و ايامی و تدبير وسائط صنعت و کسب و توسيع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حوال عموم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خامساً منع عموم از آنچه سبب فتنه و فساد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عدم مداخله در امور سياسيّه بالکلّيّه و عدم مکالمه در اين خصوص ولو بشق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شفه و دلالت بر تمکين در جميع احوال و سکون و محبّت و دوستی با عموم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سادسا مدار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با اهل فتور و تشبّث بجميع وسائل در ارجاع آن نفوس بر ميثاق حضرت رحمن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   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)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 </w:t>
      </w:r>
    </w:p>
    <w:p>
      <w:pPr>
        <w:pStyle w:val="Normal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</w:rPr>
      </w:r>
    </w:p>
    <w:p>
      <w:pPr>
        <w:pStyle w:val="Normal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</w:rPr>
      </w:r>
    </w:p>
    <w:p>
      <w:pPr>
        <w:pStyle w:val="Normal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</w:rPr>
      </w:r>
    </w:p>
    <w:p>
      <w:pPr>
        <w:pStyle w:val="Normal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cs="Simplified Arabic" w:ascii="Simplified Arabic" w:hAnsi="Simplified Arabic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لوح محفل شور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نیویورک</w:t>
    </w:r>
    <w:r>
      <w:rPr>
        <w:rFonts w:cs="Simplified Arabic" w:ascii="Simplified Arabic" w:hAnsi="Simplified Arabic"/>
        <w:color w:val="0000FF"/>
        <w:rtl w:val="true"/>
      </w:rPr>
      <w:t xml:space="preserve">) - </w:t>
    </w:r>
    <w:r>
      <w:rPr>
        <w:rFonts w:ascii="Simplified Arabic" w:hAnsi="Simplified Arabic" w:cs="Simplified Arabic"/>
        <w:color w:val="0000FF"/>
        <w:rtl w:val="true"/>
      </w:rPr>
      <w:t>اثر حضرت عبدالبهاء – بر اساس مكاتيب حضرت عبدالبهاء</w:t>
    </w:r>
    <w:r>
      <w:rPr>
        <w:rFonts w:ascii="Simplified Arabic" w:hAnsi="Simplified Arabic" w:cs="Simplified Arabic"/>
        <w:color w:val="0000FF"/>
        <w:rtl w:val="true"/>
      </w:rPr>
      <w:t>،</w:t>
    </w:r>
    <w:r>
      <w:rPr>
        <w:rFonts w:ascii="Simplified Arabic" w:hAnsi="Simplified Arabic" w:cs="Simplified Arabic"/>
        <w:color w:val="0000FF"/>
        <w:rtl w:val="true"/>
      </w:rPr>
      <w:t xml:space="preserve"> جلد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