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8"/>
          <w:szCs w:val="48"/>
        </w:rPr>
      </w:pP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8"/>
          <w:sz w:val="48"/>
          <w:szCs w:val="48"/>
          <w:rtl w:val="true"/>
        </w:rPr>
        <w:t>هُواللّه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28"/>
          <w:szCs w:val="36"/>
        </w:rPr>
      </w:pPr>
      <w:r>
        <w:rPr>
          <w:rFonts w:eastAsia="MS Mincho;ＭＳ 明朝" w:cs="Naskh MT for Bosch School" w:ascii="Naskh MT for Bosch School" w:hAnsi="Naskh MT for Bosch School"/>
          <w:b/>
          <w:bCs/>
          <w:color w:val="0000CC"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28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يا من يمتحن عبدالبهاء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،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ليس لك أن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ت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متحن عبد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ا متضرّع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إ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اللّه</w:t>
      </w:r>
      <w:r>
        <w:rPr>
          <w:rFonts w:eastAsia="MS Mincho;ＭＳ 明朝" w:cs="Naskh MT for Bosch School" w:ascii="Naskh MT for Bosch School" w:hAnsi="Naskh MT for Bosch School"/>
          <w:sz w:val="28"/>
          <w:szCs w:val="36"/>
          <w:rtl w:val="true"/>
        </w:rPr>
        <w:t>.</w:t>
      </w:r>
      <w:r>
        <w:rPr>
          <w:rFonts w:eastAsia="MS Mincho;ＭＳ 明朝" w:cs="Naskh MT for Bosch School" w:ascii="Naskh MT for Bosch School" w:hAnsi="Naskh MT for Bosch School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ا قر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ت في كتاب القوم من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عظم العرفاء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نّه لا يجوز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لطالب الحقيقة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ن يمتحن المطلوب من يدعوه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إلى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اللّه مع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ذلك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قول لك الحق والتفت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إلى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ال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شارة بكناية العبارة وهو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السّراج نور يتلئل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عل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ال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آ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فاق ولا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يتقي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د ب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حد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ٍ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سواء كان بصير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و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عم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ل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نّ ش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ن النّور الت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جلّي والظّهور فالبحر موّاج والسّفينة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منهاج وركوبها معراج والغمام يفيض والرّياض يتبسّم والنّسيم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لطيف مع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ذلك هل يجوز الرّيب في التّجل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ي من الغيب لا وربّك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الرّحمن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ا تر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نّ العمي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بصرت والصّم سمعت والبكم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نطقت وال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موات قامت والحج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ة كملت فهل بعد هذا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شكام ارتياب لا واللّه وعليك الت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حيّة والثّناء</w:t>
      </w:r>
      <w:r>
        <w:rPr>
          <w:rFonts w:eastAsia="MS Mincho;ＭＳ 明朝" w:cs="Naskh MT for Bosch School" w:ascii="Naskh MT for Bosch School" w:hAnsi="Naskh MT for Bosch School"/>
          <w:sz w:val="28"/>
          <w:szCs w:val="36"/>
          <w:rtl w:val="true"/>
        </w:rPr>
        <w:t xml:space="preserve">. </w:t>
      </w:r>
      <w:r>
        <w:rPr>
          <w:rFonts w:eastAsia="MS Mincho;ＭＳ 明朝" w:cs="Naskh MT for Bosch School" w:ascii="Naskh MT for Bosch School" w:hAnsi="Naskh MT for Bosch School"/>
          <w:sz w:val="28"/>
          <w:szCs w:val="36"/>
          <w:rtl w:val="true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color w:val="FF0000"/>
          <w:sz w:val="28"/>
          <w:szCs w:val="36"/>
          <w:rtl w:val="true"/>
        </w:rPr>
        <w:t>(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ع ع</w:t>
      </w:r>
      <w:r>
        <w:rPr>
          <w:rFonts w:eastAsia="MS Mincho;ＭＳ 明朝" w:cs="Naskh MT for Bosch School" w:ascii="Naskh MT for Bosch School" w:hAnsi="Naskh MT for Bosch School"/>
          <w:color w:val="FF0000"/>
          <w:sz w:val="28"/>
          <w:szCs w:val="36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  <w:lang w:bidi="ar-JO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both"/>
      <w:rPr/>
    </w:pP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الامتحان 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 xml:space="preserve">- </w:t>
    </w:r>
    <w:r>
      <w:rPr>
        <w:rFonts w:ascii="Naskh MT for Bosch School" w:hAnsi="Naskh MT for Bosch School" w:cs="Naskh MT for Bosch School"/>
        <w:color w:val="0000FF"/>
        <w:rtl w:val="true"/>
      </w:rPr>
      <w:t xml:space="preserve">من آثار حضرة عبدالبهاء – على اساس مكاتيب عبدالبهاء، جلد </w:t>
    </w:r>
    <w:r>
      <w:rPr>
        <w:rFonts w:cs="Naskh MT for Bosch School" w:ascii="Naskh MT for Bosch School" w:hAnsi="Naskh MT for Bosch School"/>
        <w:color w:val="0000FF"/>
      </w:rPr>
      <w:t>4</w:t>
    </w:r>
    <w:r>
      <w:rPr>
        <w:rFonts w:ascii="Naskh MT for Bosch School" w:hAnsi="Naskh MT for Bosch School" w:cs="Naskh MT for Bosch School"/>
        <w:color w:val="0000FF"/>
        <w:rtl w:val="true"/>
      </w:rPr>
      <w:t xml:space="preserve">، الصفحة </w:t>
    </w:r>
    <w:r>
      <w:rPr>
        <w:rFonts w:cs="Naskh MT for Bosch School" w:ascii="Naskh MT for Bosch School" w:hAnsi="Naskh MT for Bosch School"/>
        <w:color w:val="0000FF"/>
      </w:rPr>
      <w:t>198</w:t>
    </w:r>
    <w:r>
      <w:rPr>
        <w:rFonts w:cs="Naskh MT for Bosch School" w:ascii="Naskh MT for Bosch School" w:hAnsi="Naskh MT for Bosch School"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