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لٓهي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لٓهي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 طير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من طيور حدائق قدسك قد قصد حظائر رحماني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وطار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مطار لطفك ورب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تك متعطّش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لمعين رحمتك ومنجذب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ملكوت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موهبتك ربّ اشرح صدره بالورود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وِرْد عفوك ومغفرتك ونوّر بصره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بمشاهدة جمالك وفرّح قلبه بظهور آثار جودك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حسانك واجعل له 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قدس عليا وافرغ كلّ صبر وكلّ سلوة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والدته العزيزة الحنونة الّتي جزع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وفرغت بعد صعوده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ليك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اللّه الّذي رضي بقضائك وصبر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بلائك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نّك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الكريم الرّحيم الوّهاب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نّك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اللطيف العظيم الرّحمن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عبد البهاء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عب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  <w:lang w:bidi="fa-IR"/>
      </w:rPr>
      <w:t>۹۹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