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ورقهٴ شجرهٴ تقدیس سلیل جلیل مانندِ طیور قدس اوج اعلی گرفت و بفردوس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ابهی پرواز نمود در شجره طوبی آشیانه نمود و بفنون الحان بر افنان سدرهٴ منتهٰی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نغمه و ترانه آغاز نمود و بگلبانک سرور و حبور در حدیقهٴ ربّ غفور نغمه‌ای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ساز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کرد که ملأ اعلی را در ملکوت ابهی بوجد و طرب آورد لهذا محزون مباش دلخون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مگرد افسرده منشین پژمرده مباش راضی بقضا شو کأس صفا نوش نفس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مطمئنّه گرد تا امة البه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اء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الورقة المطمئنّة الرّاضیته بالقضا گردد و علیک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التّحیة و الثناء   ع ع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eastAsia="ar-SA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tabs>
          <w:tab w:val="left" w:pos="6510" w:leader="none"/>
        </w:tabs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مناجات  – من آثار حضرت عبدالبهاء – بشارة النور،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٤٤</w:t>
    </w:r>
    <w:r>
      <w:rPr>
        <w:rFonts w:ascii="Simplified Arabic" w:hAnsi="Simplified Arabic" w:cs="Simplified Arabic"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color w:val="0000FF"/>
        <w:lang w:bidi="fa-IR"/>
      </w:rPr>
      <w:t>۱۰۱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