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الابهی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امة اللّه و ابنة امته اگر چه آن طیر حدیقه محبت بگلشن باقی شتافت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بگلزار معنوی پرواز نمود لکن فرقت پر حرقتش آتش در آن قلوب اماء رحمن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افروخت اهل حرم کبریاء از این خبر محزون و پریشان و دلخون و گریان شدند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این نظر بالفت و محبّت و مودّت است که من دون اراده متأثّر میشوند و این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رقّت و لطافت قلب است و الّا نفوس مطمئنّه از صعود از این دار غرور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مستبشرند و از عروج از عالم تنگ و تاریک محفوظ و مسرور آن شعاع نورانی بشمس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حقیقت راجع و آن قطرهٴ صغیره ببحر اعظم وارد و آن گل گلستان معانی بجنّت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رحمانی و گلشن ملکوت ابهٰی واصل محزون مباش مخمود مباش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(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عبدالبهاء ع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بّاس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eastAsia="ar-SA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tabs>
          <w:tab w:val="left" w:pos="6510" w:leader="none"/>
        </w:tabs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Style w:val="PageNumber"/>
        <w:color w:val="0000FF"/>
        <w:rtl w:val="true"/>
      </w:rPr>
      <w:t xml:space="preserve">مناجات  – من آثار حضرت عبدالبهاء – بشارة النور، </w:t>
    </w:r>
    <w:r>
      <w:rPr>
        <w:rStyle w:val="PageNumber"/>
        <w:color w:val="0000FF"/>
        <w:lang w:bidi="fa-IR"/>
      </w:rPr>
      <w:t>۱</w:t>
    </w:r>
    <w:r>
      <w:rPr>
        <w:rStyle w:val="PageNumber"/>
        <w:color w:val="0000FF"/>
      </w:rPr>
      <w:t>٤٤</w:t>
    </w:r>
    <w:r>
      <w:rPr>
        <w:rStyle w:val="PageNumber"/>
        <w:color w:val="0000FF"/>
        <w:rtl w:val="true"/>
      </w:rPr>
      <w:t xml:space="preserve"> بديع، صفحه </w:t>
    </w:r>
    <w:r>
      <w:rPr>
        <w:rStyle w:val="PageNumber"/>
        <w:color w:val="0000FF"/>
        <w:lang w:bidi="fa-IR"/>
      </w:rPr>
      <w:t>۱۰۳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