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48"/>
          <w:szCs w:val="48"/>
        </w:rPr>
      </w:pPr>
      <w:r>
        <w:rPr>
          <w:rFonts w:ascii="Simplified Arabic" w:hAnsi="Simplified Arabic" w:eastAsia="MS Mincho;ＭＳ 明朝" w:cs="Simplified Arabic"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پروردگار آمرزگار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...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این طفل کودک سراج محفل بود و مرغ خوش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الحان آن منزل تلاوت آیات مینمود و بابدع الحان ترتیل کلمات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میکرد بلبل گویا بود و به آهنگ ملاء اعلی دمساز حال از گلخن فانی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بگلشن باقی پرواز نمود تا در ملکوت راز بنغمه و آواز پردازد ای پروردگار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الطاف بی پایان شایان کن و غفران رایگان فرما توئی آمرزنده و مهربان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(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 ع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eastAsia="ar-SA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tabs>
          <w:tab w:val="left" w:pos="6510" w:leader="none"/>
        </w:tabs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مناجات  – من آثار حضرت عبدالبهاء – بشارة النور،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٤٤</w:t>
    </w:r>
    <w:r>
      <w:rPr>
        <w:rFonts w:ascii="Simplified Arabic" w:hAnsi="Simplified Arabic" w:cs="Simplified Arabic"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color w:val="0000FF"/>
        <w:lang w:bidi="fa-IR"/>
      </w:rPr>
      <w:t>۱۰۷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33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