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ورقهٴ مقدسه از مصیبت آن نهال حدیقهٴ رحمانی گریه مکن مویه منما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آن نهال بیهمال در باغ و راغ عالم امکان وسعت نشو و نما نیافت لهذا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بجنت ابهی شتافت تا در جویبار مشکبار رحمت پروردگار پرورش یابد و از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ریزش بارش نیسان غفران طراوت و لطافت بی اندازه جوید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 ع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eastAsia="ar-SA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مناجات  – من آثار حضرت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color w:val="0000FF"/>
        <w:lang w:bidi="fa-IR"/>
      </w:rPr>
      <w:t>۱۱</w:t>
    </w:r>
    <w:r>
      <w:rPr>
        <w:rFonts w:ascii="Simplified Arabic" w:hAnsi="Simplified Arabic" w:cs="Simplified Arabic"/>
        <w:color w:val="0000FF"/>
      </w:rPr>
      <w:t>٥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6506210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12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