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40"/>
          <w:szCs w:val="40"/>
        </w:rPr>
      </w:pPr>
      <w:r>
        <w:rPr>
          <w:rFonts w:eastAsia="MS Mincho;ＭＳ 明朝" w:cs="Simplified Arabic" w:ascii="Simplified Arabic" w:hAnsi="Simplified Arabic"/>
          <w:b/>
          <w:bCs/>
          <w:sz w:val="40"/>
          <w:szCs w:val="40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40"/>
          <w:szCs w:val="40"/>
        </w:rPr>
      </w:pPr>
      <w:r>
        <w:rPr>
          <w:rFonts w:eastAsia="MS Mincho;ＭＳ 明朝" w:cs="Simplified Arabic" w:ascii="Simplified Arabic" w:hAnsi="Simplified Arabic"/>
          <w:sz w:val="40"/>
          <w:szCs w:val="40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40"/>
          <w:szCs w:val="40"/>
        </w:rPr>
      </w:pP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ای بندهٴ درگاه الٓهی آنچه از خامهٴ محبّت اللّه جاری قرائت گردید و از مضامینش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معانی دل نشین ادراک گردید امید از موهبت ربّ مجید چنان است که در کلّ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احیان بنفحات رحمن زنده و تر و تازه باشید در خصوص مسأله تناسخ مرقوم نموده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بودید این اعتقاد تناسخ از عقائد قدیمه اکثر امم و ملل است حتّی فلاسفه یونان و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حکمای رومان و مصریان قدیم و آثوریان عظیم ولکن در نزد حقّ جمیع این اقوال و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اوهام مزخرف و برهان اعظم تناسخیان این بود که مقتضای عدل الهی این است که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اعطای کلّ ذی حقّ حقّه شود حال هر انسان ببلائی مبتلا شود گوئیم که گناهی نموده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است ولکن طفلی که هنوز در رحم مادر است و نطفه اش تازه انعقاد کرده است و کو و کر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 شل و ناقص الخلقه است آیا چه گناهی نموده است که به چنین جزائی گرفتار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شده است پس این طفل اگر چه بظاهر در رحم مادر خطائی ننموده ولکن پیش از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این در قالب اوّل جرمی کرده که مستوجب چنین جزائی شده ولی این نفوس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ازین غافل گشته اند که اگر خلقت بر یک منوال بود قدرت محیطه چگونه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نمودار میشد و حق چگونه یفعل ما یشاء و یحکم مایرید می‌گشت باری ذکر رجعت در کتب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الٓهی مذکور و این مقصد طرجوع شئون و آثار و کمالات و حقایق و انواری است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که در هر کور عود مینماید نه مقصد اشخاص و ارواح مخصوصه است مثلاً گفته میشود که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این سراج دیشب و امشب عود نموده است و یا آنکه گُل پاری امسال باز در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گلستان رجوع کرده است در این مقام مقصد حقیقت شخصیّه و عین ثابته و کینونت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مخصوصهٴ آن نیست بلکه مراد آن شئون و مراتبی است که در آن سراج و در آن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گل موجود بود حال در این سراج و گل مشهود یعنی آن کمالات و فضائل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 مواهب ربیع سابق در بها لا حق عود نموده است مثلاً این ثمر همان ثمر سال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گذشته است در این مقام نظر بلطافت و طراوت و نضارت و حلاوت آن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ثمره است و الّا البتّه آن حقیقت متعیّنه و اعین مخصوصه رجوع ننموده آیا از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یک مرتبه وجود در این عرصه شهود اولیای الهی چه نعمتی و راحتی دیدند که متصّلاً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عود و رجوع و تکرّر خواهند آیا یک مرتبه این مصائب و بلایا و رزایا و صدمات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 مشکلات کفایت نمی‌کنند که تکرّر این وجود را در این عالم خواهند این کأس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چندان حلاوتی نداشته که آرزوی تتابع و تکرّر شود پس دوستان جمال ابهٰی ثوابی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 اجری جز مقام مشاهده و لقا در ملکوت ابهی نجویند و جز بادیهٴ تمنّای وصول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برفرف اعلی نپویند نعمت باقیّه خواهند و موهبت سرمدّیه که مقدّس از ادراکات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امکانیّه است چه که چون ببصر حدید نظر فرمائی جمیع بشر در این عالم ترابی معذّبند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مستریحی نه تا ثواب اعمال حیات مکرّر سابق بیند و خوشحالی نیست که ثمرهٴ مشقّات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ماضیه چیند و اگر حیات انسانی و وجود روحانی محصور در زندگانی دنیوی بود ایجاد چه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ثمرهٴ داشت بلکه الوهیّت چه آثار و نتیجه می بخشید بلکه موجودات و ممکنات و عوالم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مکوّنات کل مهمل بود استغفر اللّه عن هذا التّصوّر و الخطاء العظیم همچنانکه ثمرات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 نتائج حیات رحمی در آن عالم تنگ و تاریک مفقود و چون انتقال باین عالم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وسیع نماید فوائد نشو و نماء آن عالم واضح و مشهود می گردد بهم چنین ثواب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و عقاب و نعیم و جحیم و مکافات و مجازات اعمال و افعال انسان در این نشئهٴ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حاضره در نشئهٴ اخری عالم بعد ازین عالم مشهود و معلوم میگردد و همچنانکه اگر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نشئه و حیات رحمی محصور در همان عالم رحم بود حیات و وجود رحمی مهمل و نامربوط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می گشت بهمچنین اگر حیات این عالم و اعمال و افعال ثمراتش در عالم دیگر نشود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بکلّی مهمل و غیر معقول است پس بدان که حق را عوالم غیبی هست که افکار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امکانی از ادراکش عاجز است و عقول بشری از تصوّرش قاصر چون مشام روحانی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را از هر رطوبت امکانی پاک و مطهّر فرمائی نفحات قدس حدائق رحمانیّه آن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عوالم بمشام رسد والبهاء علیک و علی کلّ ناظر و متوّجه الی الملکوت الابهی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 xml:space="preserve">الّذی قدّسه اللّه عن ادراک الغافلین و ابصار المنکرین </w:t>
      </w:r>
      <w:r>
        <w:rPr>
          <w:rFonts w:eastAsia="MS Mincho;ＭＳ 明朝" w:cs="Simplified Arabic" w:ascii="Simplified Arabic" w:hAnsi="Simplified Arabic"/>
          <w:sz w:val="40"/>
          <w:szCs w:val="40"/>
          <w:rtl w:val="true"/>
        </w:rPr>
        <w:t>.</w:t>
      </w:r>
      <w:r>
        <w:rPr>
          <w:rFonts w:eastAsia="MS Mincho;ＭＳ 明朝" w:cs="Simplified Arabic" w:ascii="Simplified Arabic" w:hAnsi="Simplified Arabic"/>
          <w:sz w:val="40"/>
          <w:szCs w:val="40"/>
          <w:rtl w:val="true"/>
        </w:rPr>
        <w:t xml:space="preserve"> (</w:t>
      </w:r>
      <w:r>
        <w:rPr>
          <w:rFonts w:ascii="Simplified Arabic" w:hAnsi="Simplified Arabic" w:eastAsia="MS Mincho;ＭＳ 明朝" w:cs="Simplified Arabic"/>
          <w:sz w:val="40"/>
          <w:sz w:val="40"/>
          <w:szCs w:val="40"/>
          <w:rtl w:val="true"/>
        </w:rPr>
        <w:t>عبدالبهاء عباس</w:t>
      </w:r>
      <w:r>
        <w:rPr>
          <w:rFonts w:eastAsia="MS Mincho;ＭＳ 明朝" w:cs="Simplified Arabic" w:ascii="Simplified Arabic" w:hAnsi="Simplified Arabic"/>
          <w:sz w:val="40"/>
          <w:szCs w:val="40"/>
          <w:rtl w:val="true"/>
        </w:rPr>
        <w:t xml:space="preserve">) </w:t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40"/>
          <w:szCs w:val="40"/>
          <w:lang w:eastAsia="ar-SA"/>
        </w:rPr>
      </w:pPr>
      <w:r>
        <w:rPr>
          <w:rFonts w:cs="Simplified Arabic" w:ascii="Simplified Arabic" w:hAnsi="Simplified Arabic"/>
          <w:sz w:val="40"/>
          <w:szCs w:val="40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Style w:val="PageNumber"/>
        <w:color w:val="0000FF"/>
        <w:rtl w:val="true"/>
      </w:rPr>
      <w:t xml:space="preserve">مناجات  – من آثار حضرت عبدالبهاء – بشارة النور،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٤٤</w:t>
    </w:r>
    <w:r>
      <w:rPr>
        <w:rStyle w:val="PageNumber"/>
        <w:color w:val="0000FF"/>
        <w:rtl w:val="true"/>
      </w:rPr>
      <w:t xml:space="preserve"> بديع، صفحه </w:t>
    </w:r>
    <w:r>
      <w:rPr>
        <w:rStyle w:val="PageNumber"/>
        <w:color w:val="0000FF"/>
        <w:lang w:bidi="fa-IR"/>
      </w:rPr>
      <w:t>۱۲۰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