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ای بندهٴ الهی آنچه بینی و یابی در این جهان فانی اوهام و مجاز خالی است نه حقیقت آسمانی ایّام گذشته را بخاطر آار چه بود و چه شد و چه نتیجه حاصل گشت آینده مثل سابق است و ماضی آئینهٴ مستقبل هر چه در او بینی در این خواهی دید هرچه در آن یافتی در این خواهی یافت بیک نسق و یک وَتیره است ولی جمیع خلق از ماضی شاکی و بمستقبل امیدوار گمان کنند که زمان کلال و ملال بگذرد و ایّامی در نهایت خوشی و حلاوت رخ نماید هیهات هیهات این جهان عالم خاک است و این نفس منهمک و ناپاک چگونه مسرّت و فرح و شادمانی و کامرانی حاصل آید هیهات هیهات مگر آنکه انسان غیر خدا را نسیان کند نظر از این جهان پستی بردارد و آنچه در جهان بالاست مشاهده نماید توّجه بملأ اعلٰی کند و استفاضه از ملکوت ابهٰی آنوقت مسرور دو جهان گردد و درخشنده جاودان شود پس روح و ریحان است و فرح و سرور بی پایان گل و گلشن است و نسیم صبحدم و نغمهٴ مطرغ چمن لطافت هواست و عذوبت ماء و حلاوت رؤیاست و طراوت صحرا و علیک التّحیّة و الثّناء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 ع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) </w:t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مناجات  – من آثار حضرت عبدالبهاء 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color w:val="0000FF"/>
        <w:lang w:bidi="fa-IR"/>
      </w:rPr>
      <w:t>۱۲</w:t>
    </w:r>
    <w:r>
      <w:rPr>
        <w:rFonts w:ascii="Simplified Arabic" w:hAnsi="Simplified Arabic" w:cs="Simplified Arabic"/>
        <w:color w:val="0000FF"/>
      </w:rPr>
      <w:t>٥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