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الأَبْهَى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وَغَفَّارَ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ذُنُوبِي،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أَتَوَسَّلُ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َتَضَرَّعُ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وأَتَشَبَّثُ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بِذَيْلِ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غُفْرَانِكَ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بْتَهِلُ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وَإِحْسَانِكَ،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تَشْم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وَوَفَدَ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علَيكَ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بِلَحَظَاتِ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أَعْيُنِ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وَتَخُوضَ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بِحَار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مَغْفِرَتِكَ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فَرْدَانِيَّتِكَ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وَتَجْعَل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مُكَلَّلاً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بإِكْلِيل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الصَّفْحِ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بِمَوْهِبَةِ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وَمُنَوَّرَ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الوَجْهِ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وَغُفْرَ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رَفِيقِكَ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الأَبْهَ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ضَيْفُكَ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عَامِلْهُ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الكُبْرَى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لْطَافِكَ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رَاحِمَ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وَالسَّمَاءِ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العَفُو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وَالبَهَاءُ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حَضْرةِ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قَيُّومِيَّتِكَ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وَغَافِرَ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الذَّنْبِ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العَظِيمِ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٥٦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