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العَفُوُّ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الغَفُورُ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غَافِرَ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الذُّنُوبِ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كَاشِفَ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الكُرُوبِ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عَفُوُّ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غَفُورُ،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أَبْسُطُ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أَكُفَّ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الدُّعَاءِ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مُتَضَر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حَضْرَةِ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تَغْفِرَ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لأَمَتِكَ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المُتَصَاعِدَةِ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مَقْعَدِ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دْقِ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وَمَغْفِرَتِكَ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غَمَامَ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الْفَضْلِ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والإِحْسَانِ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وَأَغْرِقْهَا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العَفْوِ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وَالغُفْرَانِ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وَأَدْخِلْهَا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حَظِيرَةِ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القُدْسِ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فِرْدَوْسِ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الجِنَانِ،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العَزِيزُ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الرَّؤُفُ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الرَّحمنُ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بشارة الروح،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٥٥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</w:rPr>
      <w:t>٥</w:t>
    </w:r>
    <w:r>
      <w:rPr>
        <w:rFonts w:ascii="Simplified Arabic" w:hAnsi="Simplified Arabic" w:cs="Simplified Arabic"/>
        <w:color w:val="0000FF"/>
        <w:lang w:bidi="fa-IR"/>
      </w:rPr>
      <w:t>۹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