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الله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أَيُّها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الوَلَدُ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الرَّوْحانيُّ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وَالغُلامُ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النَّوْرانِيُّ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خُذْ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عُودَ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التَّسْبِيحِ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بِيَدِ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التَّوَجُّهِ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وَاضْربُ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بِمِضْرابِ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الْمَعَانِي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أَوْتَارِ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الأَسْرارِ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وَرَتِّلِ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التَّرْتِيلَ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بِالثَّناءِ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الْجَمِيلِ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الجَليلِ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وقُلْ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الْحَمدُ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إِلَهي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سَقَيْتَنِي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رَحِيقَ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الْعِرفَانِ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الكَأْسِ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الأَنِيقِ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مَحْفِلِ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أَحِبَّاءِ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وَأَدْخَلْتَنِي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مَلَكُوتِكَ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وَأَسْمَعْتَني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نِداءَ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مَلائِكَةِ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قُدْسِكَ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وَجَذَبْتَني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بِمِغْناطِيسِ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حُبِّكَ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وَنَوَّرْتَ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وَجْهِي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بِنُورِ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تَوْحِيدِكَ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وَأَنطَقْتَني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بِذِكْرِكَ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وَأَوْقَدْتَني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بِنَارِ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مَحَبَّتِكَ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وَشَرَحْتَ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صَدْري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بِنُورِ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مَعْرِفَتِكَ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وَأَيْقَظتَنْي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بِنَسَماتِكَ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وَأَحْيَيْتَني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بِرُوحِكَ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اجْعَلْنِي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خَالِصًا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لِوَجْهِكَ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وَناشِرًا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لِنَفحاتِكَ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وَمُعْلِنًا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لِكَلِمَتِكَ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وَخادِمًا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لأَحِبَّتِكَ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وَمُبْتَهِلاً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مَلَكُوتِكَ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وَمُتَضَرِّعًا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بِبابِ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أَحَدِيَّتِكَ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حَتَّى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أَتَخلَّقَ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بِأَخْلاقِكَ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وَأَقْتَبِسَ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أَنْوارِكَ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الرَّحْمَنُ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الرَّحيمُ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البِرُّ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الرَّؤُوْفُ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الكَرِيمُ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.   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)</w:t>
      </w:r>
    </w:p>
    <w:p>
      <w:pPr>
        <w:pStyle w:val="Normal"/>
        <w:rPr>
          <w:rFonts w:ascii="Naskh MT for Bosch School" w:hAnsi="Naskh MT for Bosch School" w:cs="Simplified Arabic"/>
          <w:sz w:val="36"/>
          <w:szCs w:val="36"/>
          <w:lang w:eastAsia="ar-SA" w:bidi="ar-JO"/>
        </w:rPr>
      </w:pPr>
      <w:r>
        <w:rPr>
          <w:rFonts w:cs="Simplified Arabic" w:ascii="Naskh MT for Bosch School" w:hAnsi="Naskh MT for Bosch School"/>
          <w:sz w:val="36"/>
          <w:szCs w:val="36"/>
          <w:lang w:eastAsia="ar-SA" w:bidi="ar-JO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6510" w:leader="none"/>
        </w:tabs>
        <w:rPr>
          <w:lang w:eastAsia="ar-SA"/>
        </w:rPr>
      </w:pPr>
      <w:r>
        <w:rPr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مجموعة مناجاة للأطفال، الصفحة </w:t>
    </w:r>
    <w:r>
      <w:rPr>
        <w:rFonts w:ascii="Simplified Arabic" w:hAnsi="Simplified Arabic" w:cs="Simplified Arabic"/>
        <w:color w:val="0000FF"/>
      </w:rPr>
      <w:t>١٠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