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الأَبْهى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left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الرَّحْمنَ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هَذا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رَيْحَانٌ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حَدِيقَةِ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الرِّضوانِ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وَغُصْنٌ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رِياضِ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العِرْفانِ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اجْعَلْها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مُهْتَزًّا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حِينٍ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وَآنٍ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بِنَفَحَاتِكَ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مَنَّان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وَمُخْضَرًّا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نَضِرًا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خَضِلاً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بِفَيْضِ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سَحَائِبِ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جُودِكَ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حَنَّانُ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السُبْحانُ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.  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)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Normal"/>
        <w:rPr>
          <w:rFonts w:ascii="Simplified Arabic" w:hAnsi="Simplified Arabic" w:cs="Simplified Arabic"/>
          <w:sz w:val="32"/>
          <w:szCs w:val="32"/>
          <w:lang w:eastAsia="ar-SA"/>
        </w:rPr>
      </w:pPr>
      <w:r>
        <w:rPr>
          <w:rFonts w:cs="Simplified Arabic" w:ascii="Simplified Arabic" w:hAnsi="Simplified Arabic"/>
          <w:sz w:val="32"/>
          <w:szCs w:val="32"/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6510" w:leader="none"/>
        </w:tabs>
        <w:rPr>
          <w:lang w:eastAsia="ar-SA"/>
        </w:rPr>
      </w:pPr>
      <w:r>
        <w:rPr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FF"/>
      </w:rPr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مجموعة مناجاة للأطفال، الصفحة </w:t>
    </w:r>
    <w:r>
      <w:rPr>
        <w:rFonts w:ascii="Simplified Arabic" w:hAnsi="Simplified Arabic" w:cs="Simplified Arabic"/>
        <w:color w:val="0000FF"/>
      </w:rPr>
      <w:t>١٤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