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</w:rPr>
        <w:t>بسم الله الر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</w:rPr>
        <w:t>حم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</w:rPr>
        <w:t>ن الر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</w:rPr>
        <w:t>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لحمد لله الّذي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دع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بداع لا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بداع قبله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اخترع الاختراع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 من اختراع بعده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جعل القدر بينهما برزخ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لهندس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فسبحانه وتعال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قد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ظهور سلطان حضرته عن وصف الجوهري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وتقد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 قدس مظهر قمص طلع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سلطان قي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ومي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 عن نعت الممكنات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بحقيقتها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فمن قال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معروف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هوي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 فقد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خذ في نفسه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شبه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لسلطان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ته ومن قال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يدل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بذاته على ذاته فقد 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الامتناع في ذاته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كما هو عليه في كينو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[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]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ّته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مقط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العرفان عن 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نفساني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البيان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بذاتي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ها هي كافوري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قديم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الّتي هي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تها مسد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دة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هورات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عن 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المثال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ها هي ذات بحت سا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الّتي هي بكينوني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تها مقط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عن مقام الجلال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فسبحانه وتعال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لا يعلم كيف هو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زال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لهو القوي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العزيز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ذا في ليل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صف من شهر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جيم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</w:rPr>
        <w:t>١٢٦٣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ثمّ الجبال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الحبس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شهد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الله وحده لا شريك له كما قد شهد ذاته بذاته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هو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العزيز الحكيم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شهد لمحم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عليه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وصيائه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صلوات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عليهم بما هو عليه من العز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والوحد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والجلال والعظم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حيث لا يحيط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بعلم ذلك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حد من الخلق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هو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العزيز المتعال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شهد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لنفسي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عبد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وصبرت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سبيل الله بالورود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 بعد قدر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غر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بل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فوس من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اس وتمح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 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مر الله عن ذكره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هو العزيز الحكيم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highlight w:val="yellow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وبعد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قد قرئت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كتابك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لعت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ردت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خطابكَ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فاعلم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العلم الخالص هو الّذي لا يتعل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 بشي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ء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بمعرف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ذكره وهو فطر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تي خلقها الله في العبد ليثبت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بها عبودي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 لله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حيث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شار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(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ع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)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حرف العبد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العين علمه بالله والباء بونه عن الخلق والد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 دنوه بالخالق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بلا كيف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ولا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شار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ةٍ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"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الّذي كتبت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كوك الوارد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فهو من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مقامك على بساط قرب طلع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مولاك وسي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فاستعذ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بالله واعتصم بحبله وتوك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عليه واعلم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اليقين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لا تخاف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مع الله شيئ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ولا تر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جنب عظم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دون هذه الر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ست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ينسب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لينا بل بدئت من طمطام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ظ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لمات الن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فوس ورجعت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ليها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ذا لم ت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ح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زن بها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الّذي كتبت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مهاجر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ت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ك في سبيل الله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فلا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يخف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على الله شيء في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 ولا في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عليك المن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عنده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لما هداك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صراطه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هو يجزي 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حسن مم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يريدون ويعملون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ولا تخف في دين الله من عملك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قادر على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شيء ومحيط بكل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ء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وهو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على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شيء شهيد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كتبتَ بأنّ باب الإمام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عليه السّلام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 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كون 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آتًا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له فهو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لا ريب فيه فكما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عليه السّلام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 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جلاله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لا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حكي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فيه إلّا طلعته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وما جعل الله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رقًا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بينه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وبينهم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إلّا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العبودي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حيث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شار الحج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عليه السّلام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دعائه في شهر رجب المرج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وبمقاماتك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الّتي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...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الخ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"</w:t>
      </w:r>
      <w:r>
        <w:rPr>
          <w:rFonts w:eastAsia="MS Mincho;ＭＳ 明朝" w:cs="Naskh MT for Bosch School" w:ascii="Naskh MT for Bosch School" w:hAnsi="Naskh MT for Bosch School"/>
          <w:b/>
          <w:bCs/>
          <w:color w:val="0000FF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ولكن لا تغفل من حكم العبودي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عليه السّلام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مع 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على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شيء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غنائه عن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شيء يعجز لمثل قاتله ويطلب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الماء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تقدير العزيز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 المقام من صفات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ضّ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يرجع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ذلك الحكم وليس 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حد يقو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ولا يضر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لمن عرف الله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وليائه عدم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ظهار علمه بما شاء الن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اس 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الله لو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عط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الكل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بما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يهو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ليه نفسه فلم يبق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حد من الكف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ار ولا يعجز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ذلك ولك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يظهر حكمه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ويتبي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 ولو كان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آية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الّتي يعجز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اس عن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 بمثلها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نْ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ةٍ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ةٍ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تبتَ أنّ السّيّد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رحمه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عليه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الّذي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دّ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عيت ولذا لم يظهر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وارق العادات فقد اشتبه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مر عليك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سمعت قوله في كثير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وقات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م الع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َّةِ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سمعت قوله في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 بعده بتلك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الأ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شعار في كثير من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وقات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 ص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 ق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دِ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عدم خوارق العادات من عبده هو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جل حكم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عليه السّلام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لما لا يعلم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اس سر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لو شاء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ليظهر من عندي فضلا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عنده كما كتبت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كتابين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بخ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ثنين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العلماء حكم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فوت المعتمد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 بسبع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وثمانين يوم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يعدل ذلك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بصرك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ِّ نضرك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ستغفر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لتكونن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المؤمنين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كتبت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حكم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قول الله 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: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أطعني أجعلك مثلي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"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لعمري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طعت الله بذلك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المقام لعجزي وضعفي لا شك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لا يخلف الميعاد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شرت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صنايع مير الد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اما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د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وشي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خ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البهائي </w:t>
      </w: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رحم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عليهما ويغفر الله عنهما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الله يعلم بهما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ما 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عيت شيئ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من تلك 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نايع ولا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ستطيع به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ذا شاء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كرمني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وقل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كل ليس بدليل في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تعب نفسي ولا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في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كل لضعف جسمي 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هي عدم الحج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ممّا يتصوّرون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لي فافهم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كنت ذا فهم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سلم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لتكونن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 الفائزين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وصفت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صفات حامل ذلك المقام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علم حيث يجعل حكمه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 العلم هو علمي بالله 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وليائه ولا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علم دون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 العمل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عملا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ولكن ما يخطر في سر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فضل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مل المجتهدين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ا خوارق العادات فلا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لنفسي شيئ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وليس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عظم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لي من كلامي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نور صبح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زل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شرق على علانيتي بمثل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سريرتي ولا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قول لك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صغر من ذلك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ستغفر الله عن 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حديد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بالكبير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نيب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كتبت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مباحث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عليه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البغداد مع علماء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سُّنَّة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وقبول الحق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عنه فلا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علم به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لا يقبل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منهم دينه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لزامهم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نصف في دين الله اليوم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المخالفين ليكونون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لزام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من عجزهم عن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إتي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 من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ار أو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زمان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عليهما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ولا شك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ذلك عند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ولي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لباب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كتبت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ن أثر نفس الكامل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العرفاء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وثبوت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ذلك في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حامل ذلك 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لأ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وعجزك من جواب نفسك من هذا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ولا تت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 هواك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يقول مخاطب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لحبيبه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 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نفس تكون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نفس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عليه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فكيف لا يبد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نفوس ذي قرابته عن الكفر بال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وكذلك الحكم من ال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ذّ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الذ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بل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الله جعل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مره 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اضحًا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ثابت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بحيث يدركه كل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فوس 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قال 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ذكره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 الد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قوله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فَ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 xml:space="preserve">ْ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قوله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فَإِ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غ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ٌّ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مع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لا شك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عليه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لو شاء بهداي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بمشي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ّته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الحتمي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هد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اس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ميع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ولكن تن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بّأ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هداي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بما 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شاء حكم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فمن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درك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دخل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دين ومن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هواه فقد علم بحكم الله 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بعد ذلك ليكون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المشركين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خاف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عفو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وعقابه واعلم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حكم عدل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عفو فهو تفض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تعذيب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 الم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الّ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 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*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 ف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خ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***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مُصِرًّا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ْ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و 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م 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لقيت لك جواب موجز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سؤالاتك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الجواب المفص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يظهر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 بالت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 في الكلمات الموجز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حينئذ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جبل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الّذي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كون فيه مجبور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بعد قدرت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على غير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حمد الله الّذي فرغني لعبادته ومناجاته والث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ناء عليه وعل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وليائه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ثّ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وحزني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عليه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كل في وحدتي وغربتي كف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بالله وكيلا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َةً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ً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170" w:leader="none"/>
        <w:tab w:val="right" w:pos="9360" w:leader="none"/>
      </w:tabs>
      <w:rPr/>
    </w:pPr>
    <w:r>
      <w:rPr>
        <w:rFonts w:cs="Naskh MT for Bosch School" w:ascii="Naskh MT for Bosch School" w:hAnsi="Naskh MT for Bosch School"/>
        <w:b/>
        <w:bCs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5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sz w:val="20"/>
        <w:szCs w:val="20"/>
        <w:lang w:bidi="ar-JO"/>
      </w:rPr>
      <w:tab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99"/>
        <w:rtl w:val="true"/>
        <w:lang w:bidi="ar-JO"/>
      </w:rPr>
      <w:t>في جواب عريضة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الآقا أسدالله القزويني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كتاب ظهور الحق جلد </w:t>
    </w:r>
    <w:r>
      <w:rPr>
        <w:rFonts w:cs="Naskh MT for Bosch School" w:ascii="Naskh MT for Bosch School" w:hAnsi="Naskh MT for Bosch School"/>
        <w:color w:val="000099"/>
        <w:lang w:bidi="ar-JO"/>
      </w:rPr>
      <w:t>3</w:t>
    </w:r>
    <w:r>
      <w:rPr>
        <w:rFonts w:cs="Naskh MT for Bosch School" w:ascii="Naskh MT for Bosch School" w:hAnsi="Naskh MT for Bosch School"/>
        <w:color w:val="000099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الصفحة </w:t>
    </w:r>
    <w:r>
      <w:rPr>
        <w:rFonts w:cs="Naskh MT for Bosch School" w:ascii="Naskh MT for Bosch School" w:hAnsi="Naskh MT for Bosch School"/>
        <w:color w:val="000099"/>
        <w:lang w:bidi="ar-JO"/>
      </w:rPr>
      <w:t>13</w:t>
    </w:r>
    <w:r>
      <w:rPr>
        <w:rFonts w:cs="Naskh MT for Bosch School" w:ascii="Naskh MT for Bosch School" w:hAnsi="Naskh MT for Bosch School"/>
        <w:color w:val="000099"/>
        <w:rtl w:val="true"/>
        <w:lang w:bidi="ar-JO"/>
      </w:rPr>
      <w:t xml:space="preserve">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99"/>
        <w:lang w:bidi="ar-JO"/>
      </w:rPr>
    </w:pP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في جواب عريضة الآقا أسدالله القزويني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 كتاب ظهور الحق جلد </w:t>
    </w:r>
    <w:r>
      <w:rPr>
        <w:rFonts w:cs="Naskh MT for Bosch School" w:ascii="Naskh MT for Bosch School" w:hAnsi="Naskh MT for Bosch School"/>
        <w:color w:val="000099"/>
        <w:lang w:bidi="ar-JO"/>
      </w:rPr>
      <w:t>3</w:t>
    </w:r>
    <w:r>
      <w:rPr>
        <w:rFonts w:cs="Naskh MT for Bosch School" w:ascii="Naskh MT for Bosch School" w:hAnsi="Naskh MT for Bosch School"/>
        <w:color w:val="000099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99"/>
        <w:rtl w:val="true"/>
        <w:lang w:bidi="ar-JO"/>
      </w:rPr>
      <w:t xml:space="preserve">الصفحة </w:t>
    </w:r>
    <w:r>
      <w:rPr>
        <w:rFonts w:cs="Naskh MT for Bosch School" w:ascii="Naskh MT for Bosch School" w:hAnsi="Naskh MT for Bosch School"/>
        <w:color w:val="000099"/>
        <w:lang w:bidi="ar-JO"/>
      </w:rPr>
      <w:t>13</w:t>
    </w:r>
    <w:r>
      <w:rPr>
        <w:rFonts w:cs="Naskh MT for Bosch School" w:ascii="Naskh MT for Bosch School" w:hAnsi="Naskh MT for Bosch School"/>
        <w:color w:val="000099"/>
        <w:rtl w:val="true"/>
        <w:lang w:bidi="ar-JO"/>
      </w:rPr>
      <w:t xml:space="preserve">  </w:t>
    </w:r>
  </w:p>
  <w:p>
    <w:pPr>
      <w:pStyle w:val="Header"/>
      <w:rPr>
        <w:rFonts w:ascii="Naskh MT for Bosch School" w:hAnsi="Naskh MT for Bosch School" w:cs="Naskh MT for Bosch School"/>
        <w:color w:val="000099"/>
        <w:lang w:bidi="ar-JO"/>
      </w:rPr>
    </w:pPr>
    <w:r>
      <w:rPr>
        <w:rFonts w:cs="Naskh MT for Bosch School" w:ascii="Naskh MT for Bosch School" w:hAnsi="Naskh MT for Bosch School"/>
        <w:color w:val="000099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  <w:color w:val="FF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color w:val="FF0000"/>
    </w:rPr>
  </w:style>
  <w:style w:type="character" w:styleId="WW8Num2z1">
    <w:name w:val="WW8Num2z1"/>
    <w:qFormat/>
    <w:rPr>
      <w:color w:val="FF0000"/>
      <w:sz w:val="28"/>
      <w:szCs w:val="28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bCs/>
      <w:color w:val="FF0000"/>
    </w:rPr>
  </w:style>
  <w:style w:type="character" w:styleId="WW8Num3z1">
    <w:name w:val="WW8Num3z1"/>
    <w:qFormat/>
    <w:rPr>
      <w:color w:val="FF0000"/>
      <w:sz w:val="28"/>
      <w:szCs w:val="28"/>
    </w:rPr>
  </w:style>
  <w:style w:type="character" w:styleId="WW8Num3z2">
    <w:name w:val="WW8Num3z2"/>
    <w:qFormat/>
    <w:rPr>
      <w:b/>
      <w:bCs/>
      <w:color w:val="FF0000"/>
      <w:sz w:val="28"/>
      <w:szCs w:val="28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2002-05-16T19:02:00Z</dcterms:created>
  <dc:creator/>
  <dc:description/>
  <cp:keywords/>
  <dc:language>en-US</dc:language>
  <cp:lastModifiedBy>Bob</cp:lastModifiedBy>
  <cp:lastPrinted>2012-06-23T09:52:00Z</cp:lastPrinted>
  <dcterms:modified xsi:type="dcterms:W3CDTF">2015-08-04T04:11:00Z</dcterms:modified>
  <cp:revision>94</cp:revision>
  <dc:subject/>
  <dc:title/>
</cp:coreProperties>
</file>